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1A5FA" w14:textId="672EF7F8" w:rsidR="009856BA" w:rsidRPr="00E13633" w:rsidRDefault="009856BA" w:rsidP="009856BA">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106</w:t>
      </w:r>
      <w:r w:rsidRPr="00E13633">
        <w:rPr>
          <w:rFonts w:cs="Arial"/>
          <w:sz w:val="24"/>
          <w:szCs w:val="24"/>
        </w:rPr>
        <w:tab/>
      </w:r>
      <w:r w:rsidR="00884AB6" w:rsidRPr="00884AB6">
        <w:rPr>
          <w:rFonts w:cs="Arial"/>
          <w:sz w:val="24"/>
          <w:szCs w:val="24"/>
        </w:rPr>
        <w:t>R4-2300287</w:t>
      </w:r>
    </w:p>
    <w:p w14:paraId="2E19305A" w14:textId="77777777" w:rsidR="009856BA" w:rsidRPr="00E13633" w:rsidRDefault="009856BA" w:rsidP="009856BA">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Athens</w:t>
      </w:r>
      <w:r w:rsidRPr="00E13633">
        <w:rPr>
          <w:rFonts w:eastAsia="SimSun" w:cs="Arial"/>
          <w:sz w:val="24"/>
          <w:szCs w:val="24"/>
        </w:rPr>
        <w:t>,</w:t>
      </w:r>
      <w:r>
        <w:rPr>
          <w:rFonts w:eastAsia="SimSun" w:cs="Arial"/>
          <w:sz w:val="24"/>
          <w:szCs w:val="24"/>
        </w:rPr>
        <w:t xml:space="preserve"> Greece,</w:t>
      </w:r>
      <w:r w:rsidRPr="00E13633">
        <w:rPr>
          <w:rFonts w:eastAsia="SimSun" w:cs="Arial"/>
          <w:sz w:val="24"/>
          <w:szCs w:val="24"/>
        </w:rPr>
        <w:t xml:space="preserve"> </w:t>
      </w:r>
      <w:r>
        <w:rPr>
          <w:rFonts w:eastAsia="SimSun" w:cs="Arial"/>
          <w:sz w:val="24"/>
          <w:szCs w:val="24"/>
        </w:rPr>
        <w:t>February 27</w:t>
      </w:r>
      <w:r w:rsidRPr="00E13633">
        <w:rPr>
          <w:rFonts w:eastAsia="SimSun" w:cs="Arial"/>
          <w:sz w:val="24"/>
          <w:szCs w:val="24"/>
        </w:rPr>
        <w:t xml:space="preserve"> – </w:t>
      </w:r>
      <w:r>
        <w:rPr>
          <w:rFonts w:eastAsia="SimSun" w:cs="Arial"/>
          <w:sz w:val="24"/>
          <w:szCs w:val="24"/>
        </w:rPr>
        <w:t>March 3</w:t>
      </w:r>
      <w:r w:rsidRPr="00E13633">
        <w:rPr>
          <w:rFonts w:eastAsia="SimSun" w:cs="Arial"/>
          <w:sz w:val="24"/>
          <w:szCs w:val="24"/>
        </w:rPr>
        <w:t>, 202</w:t>
      </w:r>
      <w:r>
        <w:rPr>
          <w:rFonts w:eastAsia="SimSun" w:cs="Arial"/>
          <w:sz w:val="24"/>
          <w:szCs w:val="24"/>
        </w:rPr>
        <w:t>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4CC1944"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9856BA">
        <w:rPr>
          <w:rFonts w:ascii="Arial" w:hAnsi="Arial" w:cs="Arial"/>
          <w:b/>
          <w:sz w:val="22"/>
          <w:szCs w:val="22"/>
        </w:rPr>
        <w:t>9</w:t>
      </w:r>
      <w:r w:rsidR="0085538E">
        <w:rPr>
          <w:rFonts w:ascii="Arial" w:hAnsi="Arial" w:cs="Arial"/>
          <w:b/>
          <w:sz w:val="22"/>
          <w:szCs w:val="22"/>
        </w:rPr>
        <w:t>.</w:t>
      </w:r>
      <w:r w:rsidR="0070633A">
        <w:rPr>
          <w:rFonts w:ascii="Arial" w:hAnsi="Arial" w:cs="Arial"/>
          <w:b/>
          <w:sz w:val="22"/>
          <w:szCs w:val="22"/>
        </w:rPr>
        <w:t>25</w:t>
      </w:r>
      <w:r w:rsidR="0012561B">
        <w:rPr>
          <w:rFonts w:ascii="Arial" w:hAnsi="Arial" w:cs="Arial"/>
          <w:b/>
          <w:sz w:val="22"/>
          <w:szCs w:val="22"/>
        </w:rPr>
        <w:t>.</w:t>
      </w:r>
      <w:r w:rsidR="0070633A">
        <w:rPr>
          <w:rFonts w:ascii="Arial" w:hAnsi="Arial" w:cs="Arial"/>
          <w:b/>
          <w:sz w:val="22"/>
          <w:szCs w:val="22"/>
        </w:rPr>
        <w:t>5</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F925F10"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C3D17" w:rsidRPr="004C3D17">
        <w:rPr>
          <w:rFonts w:ascii="Arial" w:hAnsi="Arial" w:cs="Arial"/>
          <w:b/>
          <w:sz w:val="22"/>
          <w:szCs w:val="22"/>
        </w:rPr>
        <w:t xml:space="preserve">RRM impacts overview for </w:t>
      </w:r>
      <w:proofErr w:type="spellStart"/>
      <w:r w:rsidR="004C3D17" w:rsidRPr="004C3D17">
        <w:rPr>
          <w:rFonts w:ascii="Arial" w:hAnsi="Arial" w:cs="Arial"/>
          <w:b/>
          <w:sz w:val="22"/>
          <w:szCs w:val="22"/>
        </w:rPr>
        <w:t>eNTN</w:t>
      </w:r>
      <w:proofErr w:type="spellEnd"/>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7BD7FD11" w:rsidR="00A74337" w:rsidRDefault="0012561B" w:rsidP="00B06DCC">
      <w:pPr>
        <w:spacing w:after="120"/>
        <w:jc w:val="both"/>
      </w:pPr>
      <w:r>
        <w:t>From</w:t>
      </w:r>
      <w:r w:rsidR="00A9674C">
        <w:t xml:space="preserve"> </w:t>
      </w:r>
      <w:r>
        <w:rPr>
          <w:rFonts w:hint="eastAsia"/>
        </w:rPr>
        <w:t>this</w:t>
      </w:r>
      <w:r>
        <w:t xml:space="preserve"> RAN4 #106 meeting, the </w:t>
      </w:r>
      <w:proofErr w:type="spellStart"/>
      <w:r w:rsidR="00E15407">
        <w:rPr>
          <w:rFonts w:hint="eastAsia"/>
        </w:rPr>
        <w:t>eNTN</w:t>
      </w:r>
      <w:proofErr w:type="spellEnd"/>
      <w:r>
        <w:t xml:space="preserve"> will be discussed according to the TU plan in RP-223558, and the latest WID for R18 </w:t>
      </w:r>
      <w:proofErr w:type="spellStart"/>
      <w:r>
        <w:t>e</w:t>
      </w:r>
      <w:r w:rsidR="00E15407">
        <w:t>NTN</w:t>
      </w:r>
      <w:proofErr w:type="spellEnd"/>
      <w:r>
        <w:t xml:space="preserve"> is approved in [1]</w:t>
      </w:r>
      <w:r w:rsidR="00F63A1B">
        <w:t>.</w:t>
      </w:r>
      <w:r>
        <w:t xml:space="preserve"> In this contribution we discuss the impact on RRM for the </w:t>
      </w:r>
      <w:proofErr w:type="spellStart"/>
      <w:r w:rsidR="00E15407">
        <w:t>eNTN</w:t>
      </w:r>
      <w:proofErr w:type="spellEnd"/>
      <w:r>
        <w:t xml:space="preserve"> UE.</w:t>
      </w:r>
    </w:p>
    <w:p w14:paraId="7ADE0A8D" w14:textId="5530CD71" w:rsidR="003D5E81" w:rsidRPr="009856BA" w:rsidRDefault="00F63A1B" w:rsidP="003D5E81">
      <w:pPr>
        <w:pStyle w:val="Heading1"/>
        <w:numPr>
          <w:ilvl w:val="0"/>
          <w:numId w:val="10"/>
        </w:numPr>
        <w:pBdr>
          <w:top w:val="single" w:sz="12" w:space="2" w:color="auto"/>
        </w:pBdr>
        <w:jc w:val="both"/>
        <w:rPr>
          <w:sz w:val="32"/>
        </w:rPr>
      </w:pPr>
      <w:r>
        <w:rPr>
          <w:sz w:val="32"/>
        </w:rPr>
        <w:t>Discussion</w:t>
      </w:r>
      <w:r w:rsidR="00FC61B8">
        <w:rPr>
          <w:sz w:val="32"/>
        </w:rPr>
        <w:t xml:space="preserve"> </w:t>
      </w:r>
      <w:r w:rsidR="009C7526">
        <w:rPr>
          <w:sz w:val="32"/>
        </w:rPr>
        <w:t xml:space="preserve">on </w:t>
      </w:r>
      <w:proofErr w:type="spellStart"/>
      <w:r w:rsidR="006E485F">
        <w:rPr>
          <w:rFonts w:hint="eastAsia"/>
          <w:sz w:val="32"/>
        </w:rPr>
        <w:t>eNTN</w:t>
      </w:r>
      <w:proofErr w:type="spellEnd"/>
      <w:r w:rsidR="006E485F">
        <w:rPr>
          <w:sz w:val="32"/>
        </w:rPr>
        <w:t xml:space="preserve"> </w:t>
      </w:r>
      <w:r w:rsidR="009C7526">
        <w:rPr>
          <w:sz w:val="32"/>
        </w:rPr>
        <w:t>RRM</w:t>
      </w:r>
    </w:p>
    <w:p w14:paraId="1A58F8D2" w14:textId="041A512D" w:rsidR="000D52FA" w:rsidRDefault="000D52FA" w:rsidP="000D52FA">
      <w:pPr>
        <w:spacing w:after="180"/>
        <w:rPr>
          <w:lang w:eastAsia="x-none"/>
        </w:rPr>
      </w:pPr>
      <w:r w:rsidRPr="00EB259E">
        <w:rPr>
          <w:rFonts w:hint="eastAsia"/>
          <w:lang w:eastAsia="x-none"/>
        </w:rPr>
        <w:t>The</w:t>
      </w:r>
      <w:r w:rsidRPr="00EB259E">
        <w:rPr>
          <w:lang w:eastAsia="x-none"/>
        </w:rPr>
        <w:t xml:space="preserve"> </w:t>
      </w:r>
      <w:r w:rsidR="009C7526">
        <w:rPr>
          <w:lang w:eastAsia="x-none"/>
        </w:rPr>
        <w:t xml:space="preserve">objectives in the </w:t>
      </w:r>
      <w:proofErr w:type="gramStart"/>
      <w:r w:rsidR="009C7526">
        <w:rPr>
          <w:lang w:eastAsia="x-none"/>
        </w:rPr>
        <w:t>WID[</w:t>
      </w:r>
      <w:proofErr w:type="gramEnd"/>
      <w:r w:rsidR="009C7526">
        <w:rPr>
          <w:lang w:eastAsia="x-none"/>
        </w:rPr>
        <w:t>1] are as followings</w:t>
      </w:r>
      <w:r w:rsidRPr="00EB259E">
        <w:rPr>
          <w:lang w:eastAsia="x-none"/>
        </w:rPr>
        <w:t>:</w:t>
      </w:r>
    </w:p>
    <w:tbl>
      <w:tblPr>
        <w:tblStyle w:val="TableGrid"/>
        <w:tblW w:w="0" w:type="auto"/>
        <w:tblLook w:val="04A0" w:firstRow="1" w:lastRow="0" w:firstColumn="1" w:lastColumn="0" w:noHBand="0" w:noVBand="1"/>
      </w:tblPr>
      <w:tblGrid>
        <w:gridCol w:w="9629"/>
      </w:tblGrid>
      <w:tr w:rsidR="000D52FA" w14:paraId="5D26DB19" w14:textId="77777777" w:rsidTr="00E7499F">
        <w:tc>
          <w:tcPr>
            <w:tcW w:w="9629" w:type="dxa"/>
          </w:tcPr>
          <w:p w14:paraId="7BB850AF" w14:textId="77777777" w:rsidR="00DD44AA" w:rsidRPr="00134B7D" w:rsidRDefault="00DD44AA" w:rsidP="00DD44AA">
            <w:pPr>
              <w:spacing w:after="0"/>
              <w:rPr>
                <w:bCs/>
              </w:rPr>
            </w:pPr>
            <w:r w:rsidRPr="00134B7D">
              <w:rPr>
                <w:bCs/>
              </w:rPr>
              <w:t>4.1.1</w:t>
            </w:r>
            <w:r w:rsidRPr="00134B7D">
              <w:rPr>
                <w:bCs/>
              </w:rPr>
              <w:tab/>
              <w:t>Coverage enhancement</w:t>
            </w:r>
          </w:p>
          <w:p w14:paraId="170281DD" w14:textId="77777777" w:rsidR="00DD44AA" w:rsidRPr="00134B7D" w:rsidRDefault="00DD44AA" w:rsidP="00DD44AA">
            <w:pPr>
              <w:spacing w:after="0"/>
              <w:rPr>
                <w:bCs/>
              </w:rPr>
            </w:pPr>
            <w:r w:rsidRPr="00134B7D">
              <w:rPr>
                <w:bCs/>
              </w:rPr>
              <w:t>4.1.2</w:t>
            </w:r>
            <w:r w:rsidRPr="00134B7D">
              <w:rPr>
                <w:bCs/>
              </w:rPr>
              <w:tab/>
              <w:t>NR-NTN deployment in above 10 GHz bands</w:t>
            </w:r>
          </w:p>
          <w:p w14:paraId="004F1E5F" w14:textId="77777777" w:rsidR="00DD44AA" w:rsidRPr="00134B7D" w:rsidRDefault="00DD44AA" w:rsidP="00DD44AA">
            <w:pPr>
              <w:spacing w:after="0"/>
              <w:rPr>
                <w:bCs/>
              </w:rPr>
            </w:pPr>
            <w:r w:rsidRPr="00134B7D">
              <w:rPr>
                <w:bCs/>
              </w:rPr>
              <w:t>4.1.3</w:t>
            </w:r>
            <w:r w:rsidRPr="00134B7D">
              <w:rPr>
                <w:bCs/>
              </w:rPr>
              <w:tab/>
              <w:t>Network verified UE location</w:t>
            </w:r>
          </w:p>
          <w:p w14:paraId="5998FCCB" w14:textId="61BF4979" w:rsidR="000D52FA" w:rsidRPr="00DD44AA" w:rsidRDefault="00DD44AA" w:rsidP="00DD44AA">
            <w:pPr>
              <w:spacing w:after="0"/>
              <w:rPr>
                <w:bCs/>
              </w:rPr>
            </w:pPr>
            <w:r w:rsidRPr="00134B7D">
              <w:rPr>
                <w:bCs/>
              </w:rPr>
              <w:t>4.1.4</w:t>
            </w:r>
            <w:r w:rsidRPr="00134B7D">
              <w:rPr>
                <w:bCs/>
              </w:rPr>
              <w:tab/>
              <w:t>NTN-TN and NTN-NTN mobility and service continuity enhancements</w:t>
            </w:r>
          </w:p>
        </w:tc>
      </w:tr>
    </w:tbl>
    <w:p w14:paraId="74CADB19" w14:textId="77777777" w:rsidR="000D52FA" w:rsidRDefault="000D52FA" w:rsidP="000D52FA">
      <w:pPr>
        <w:jc w:val="both"/>
        <w:rPr>
          <w:b/>
          <w:bCs/>
          <w:i/>
          <w:iCs/>
          <w:lang w:eastAsia="ko-KR"/>
        </w:rPr>
      </w:pPr>
    </w:p>
    <w:p w14:paraId="7D81C6C1" w14:textId="58013729" w:rsidR="00DD44AA" w:rsidRDefault="00DD44AA" w:rsidP="00893F0E">
      <w:pPr>
        <w:spacing w:after="180"/>
        <w:jc w:val="both"/>
        <w:rPr>
          <w:lang w:val="en-GB" w:eastAsia="x-none"/>
        </w:rPr>
      </w:pPr>
      <w:r>
        <w:rPr>
          <w:lang w:val="en-GB" w:eastAsia="x-none"/>
        </w:rPr>
        <w:t xml:space="preserve">The main bullets to impact RAN4 RRM </w:t>
      </w:r>
      <w:proofErr w:type="gramStart"/>
      <w:r>
        <w:rPr>
          <w:lang w:val="en-GB" w:eastAsia="x-none"/>
        </w:rPr>
        <w:t>is</w:t>
      </w:r>
      <w:proofErr w:type="gramEnd"/>
      <w:r>
        <w:rPr>
          <w:lang w:val="en-GB" w:eastAsia="x-none"/>
        </w:rPr>
        <w:t xml:space="preserve"> the 4.1.2 and 4.1.4. Regarding the “</w:t>
      </w:r>
      <w:r w:rsidRPr="00134B7D">
        <w:rPr>
          <w:bCs/>
        </w:rPr>
        <w:t>NR-NTN deployment in above 10 GHz bands</w:t>
      </w:r>
      <w:r>
        <w:rPr>
          <w:lang w:val="en-GB" w:eastAsia="x-none"/>
        </w:rPr>
        <w:t>”, the assumption of WID is:</w:t>
      </w:r>
    </w:p>
    <w:tbl>
      <w:tblPr>
        <w:tblStyle w:val="TableGrid"/>
        <w:tblW w:w="0" w:type="auto"/>
        <w:tblLook w:val="04A0" w:firstRow="1" w:lastRow="0" w:firstColumn="1" w:lastColumn="0" w:noHBand="0" w:noVBand="1"/>
      </w:tblPr>
      <w:tblGrid>
        <w:gridCol w:w="9629"/>
      </w:tblGrid>
      <w:tr w:rsidR="00DD44AA" w14:paraId="545E6DBF" w14:textId="77777777" w:rsidTr="00DD44AA">
        <w:tc>
          <w:tcPr>
            <w:tcW w:w="9629" w:type="dxa"/>
          </w:tcPr>
          <w:p w14:paraId="45A51B38" w14:textId="77777777" w:rsidR="00DD44AA" w:rsidRPr="00DD44AA" w:rsidRDefault="00DD44AA" w:rsidP="00DD44AA">
            <w:pPr>
              <w:spacing w:after="0"/>
              <w:rPr>
                <w:bCs/>
                <w:sz w:val="20"/>
                <w:szCs w:val="20"/>
              </w:rPr>
            </w:pPr>
            <w:r w:rsidRPr="00DD44AA">
              <w:rPr>
                <w:bCs/>
                <w:sz w:val="20"/>
                <w:szCs w:val="20"/>
              </w:rPr>
              <w:t>The following assumptions are taken a baseline for this work:</w:t>
            </w:r>
          </w:p>
          <w:p w14:paraId="6A11FD39" w14:textId="77777777" w:rsidR="00DD44AA" w:rsidRPr="00DD44AA" w:rsidRDefault="00DD44AA" w:rsidP="00DD44AA">
            <w:pPr>
              <w:numPr>
                <w:ilvl w:val="0"/>
                <w:numId w:val="40"/>
              </w:numPr>
              <w:overflowPunct w:val="0"/>
              <w:autoSpaceDE w:val="0"/>
              <w:autoSpaceDN w:val="0"/>
              <w:adjustRightInd w:val="0"/>
              <w:spacing w:after="0"/>
              <w:textAlignment w:val="baseline"/>
              <w:rPr>
                <w:bCs/>
                <w:sz w:val="20"/>
                <w:szCs w:val="20"/>
              </w:rPr>
            </w:pPr>
            <w:r w:rsidRPr="00DD44AA">
              <w:rPr>
                <w:bCs/>
                <w:sz w:val="20"/>
                <w:szCs w:val="20"/>
              </w:rPr>
              <w:t>GSO and NGSO (</w:t>
            </w:r>
            <w:proofErr w:type="gramStart"/>
            <w:r w:rsidRPr="00DD44AA">
              <w:rPr>
                <w:bCs/>
                <w:sz w:val="20"/>
                <w:szCs w:val="20"/>
              </w:rPr>
              <w:t>e.g.</w:t>
            </w:r>
            <w:proofErr w:type="gramEnd"/>
            <w:r w:rsidRPr="00DD44AA">
              <w:rPr>
                <w:bCs/>
                <w:sz w:val="20"/>
                <w:szCs w:val="20"/>
              </w:rPr>
              <w:t xml:space="preserve"> LEO, MEO, HEO) based satellite access to be considered</w:t>
            </w:r>
          </w:p>
          <w:p w14:paraId="4F2C514B" w14:textId="77777777" w:rsidR="00DD44AA" w:rsidRPr="00DD44AA" w:rsidRDefault="00DD44AA" w:rsidP="00DD44AA">
            <w:pPr>
              <w:numPr>
                <w:ilvl w:val="1"/>
                <w:numId w:val="40"/>
              </w:numPr>
              <w:overflowPunct w:val="0"/>
              <w:autoSpaceDE w:val="0"/>
              <w:autoSpaceDN w:val="0"/>
              <w:adjustRightInd w:val="0"/>
              <w:spacing w:after="0"/>
              <w:textAlignment w:val="baseline"/>
              <w:rPr>
                <w:bCs/>
                <w:sz w:val="20"/>
                <w:szCs w:val="20"/>
              </w:rPr>
            </w:pPr>
            <w:r w:rsidRPr="00DD44AA">
              <w:rPr>
                <w:bCs/>
                <w:sz w:val="20"/>
                <w:szCs w:val="20"/>
              </w:rPr>
              <w:t xml:space="preserve">ESIM scenarios for NGSO in Ka band are not considered in this WI. </w:t>
            </w:r>
          </w:p>
          <w:p w14:paraId="72377F10" w14:textId="77777777" w:rsidR="00DD44AA" w:rsidRPr="00DD44AA" w:rsidRDefault="00DD44AA" w:rsidP="00DD44AA">
            <w:pPr>
              <w:numPr>
                <w:ilvl w:val="0"/>
                <w:numId w:val="40"/>
              </w:numPr>
              <w:overflowPunct w:val="0"/>
              <w:autoSpaceDE w:val="0"/>
              <w:autoSpaceDN w:val="0"/>
              <w:adjustRightInd w:val="0"/>
              <w:spacing w:after="0"/>
              <w:textAlignment w:val="baseline"/>
              <w:rPr>
                <w:bCs/>
                <w:sz w:val="20"/>
                <w:szCs w:val="20"/>
              </w:rPr>
            </w:pPr>
            <w:r w:rsidRPr="00DD44AA">
              <w:rPr>
                <w:bCs/>
                <w:sz w:val="20"/>
                <w:szCs w:val="20"/>
              </w:rPr>
              <w:t>Targeted UE types: fixed and mobile VSAT. VSAT UE characteristics from TR38.821 to be considered in priority but additional NTN UE classes may be considered if justified</w:t>
            </w:r>
          </w:p>
          <w:p w14:paraId="56127A54" w14:textId="77777777" w:rsidR="00DD44AA" w:rsidRPr="00DD44AA" w:rsidRDefault="00DD44AA" w:rsidP="00DD44AA">
            <w:pPr>
              <w:numPr>
                <w:ilvl w:val="1"/>
                <w:numId w:val="40"/>
              </w:numPr>
              <w:overflowPunct w:val="0"/>
              <w:autoSpaceDE w:val="0"/>
              <w:autoSpaceDN w:val="0"/>
              <w:adjustRightInd w:val="0"/>
              <w:spacing w:after="0"/>
              <w:textAlignment w:val="baseline"/>
              <w:rPr>
                <w:bCs/>
                <w:sz w:val="20"/>
                <w:szCs w:val="20"/>
              </w:rPr>
            </w:pPr>
            <w:r w:rsidRPr="00DD44AA">
              <w:rPr>
                <w:bCs/>
                <w:sz w:val="20"/>
                <w:szCs w:val="20"/>
              </w:rPr>
              <w:t xml:space="preserve">Regarding mobile VSAT, three types of </w:t>
            </w:r>
            <w:proofErr w:type="gramStart"/>
            <w:r w:rsidRPr="00DD44AA">
              <w:rPr>
                <w:bCs/>
                <w:sz w:val="20"/>
                <w:szCs w:val="20"/>
              </w:rPr>
              <w:t>terminal</w:t>
            </w:r>
            <w:proofErr w:type="gramEnd"/>
            <w:r w:rsidRPr="00DD44AA">
              <w:rPr>
                <w:bCs/>
                <w:sz w:val="20"/>
                <w:szCs w:val="20"/>
              </w:rPr>
              <w:t xml:space="preserve"> and scenario exist; airborne, maritime and land based ESIM.</w:t>
            </w:r>
            <w:r w:rsidRPr="00DD44AA">
              <w:rPr>
                <w:sz w:val="20"/>
                <w:szCs w:val="20"/>
              </w:rPr>
              <w:t xml:space="preserve"> </w:t>
            </w:r>
            <w:r w:rsidRPr="00DD44AA">
              <w:rPr>
                <w:bCs/>
                <w:sz w:val="20"/>
                <w:szCs w:val="20"/>
              </w:rPr>
              <w:t>Which type(s) to be specified depends on the outcome of the regulation analysis and co-existence study.</w:t>
            </w:r>
          </w:p>
          <w:p w14:paraId="1DEBC98D" w14:textId="77777777" w:rsidR="00DD44AA" w:rsidRPr="00DD44AA" w:rsidRDefault="00DD44AA" w:rsidP="00DD44AA">
            <w:pPr>
              <w:numPr>
                <w:ilvl w:val="0"/>
                <w:numId w:val="40"/>
              </w:numPr>
              <w:overflowPunct w:val="0"/>
              <w:autoSpaceDE w:val="0"/>
              <w:autoSpaceDN w:val="0"/>
              <w:adjustRightInd w:val="0"/>
              <w:spacing w:after="0"/>
              <w:textAlignment w:val="baseline"/>
              <w:rPr>
                <w:bCs/>
                <w:sz w:val="20"/>
                <w:szCs w:val="20"/>
              </w:rPr>
            </w:pPr>
            <w:r w:rsidRPr="00DD44AA">
              <w:rPr>
                <w:bCs/>
                <w:sz w:val="20"/>
                <w:szCs w:val="20"/>
              </w:rPr>
              <w:t>FDD mode is assumed for satellite operation above 10 GHz, while TDD mode is assumed for terrestrial operation in FR2</w:t>
            </w:r>
          </w:p>
          <w:p w14:paraId="799FE250" w14:textId="77777777" w:rsidR="00DD44AA" w:rsidRPr="00DD44AA" w:rsidRDefault="00DD44AA" w:rsidP="00DD44AA">
            <w:pPr>
              <w:numPr>
                <w:ilvl w:val="0"/>
                <w:numId w:val="40"/>
              </w:numPr>
              <w:overflowPunct w:val="0"/>
              <w:autoSpaceDE w:val="0"/>
              <w:autoSpaceDN w:val="0"/>
              <w:adjustRightInd w:val="0"/>
              <w:spacing w:after="0"/>
              <w:textAlignment w:val="baseline"/>
              <w:rPr>
                <w:bCs/>
                <w:sz w:val="20"/>
                <w:szCs w:val="20"/>
              </w:rPr>
            </w:pPr>
            <w:r w:rsidRPr="00DD44AA">
              <w:rPr>
                <w:bCs/>
                <w:sz w:val="20"/>
                <w:szCs w:val="20"/>
              </w:rPr>
              <w:t>The ITU-R harmonized Ka band will serve as reference</w:t>
            </w:r>
          </w:p>
          <w:p w14:paraId="07F53AC0" w14:textId="77777777" w:rsidR="00DD44AA" w:rsidRPr="004C0828" w:rsidRDefault="00DD44AA" w:rsidP="00DD44AA">
            <w:pPr>
              <w:numPr>
                <w:ilvl w:val="0"/>
                <w:numId w:val="40"/>
              </w:numPr>
              <w:overflowPunct w:val="0"/>
              <w:autoSpaceDE w:val="0"/>
              <w:autoSpaceDN w:val="0"/>
              <w:adjustRightInd w:val="0"/>
              <w:spacing w:after="0"/>
              <w:textAlignment w:val="baseline"/>
              <w:rPr>
                <w:bCs/>
              </w:rPr>
            </w:pPr>
            <w:r w:rsidRPr="00DD44AA">
              <w:rPr>
                <w:bCs/>
                <w:sz w:val="20"/>
                <w:szCs w:val="20"/>
              </w:rPr>
              <w:t>Co-existence between overlapping NTN and TN band portions is out of scope of this work item. This aspect will be captured in the specification.</w:t>
            </w:r>
          </w:p>
          <w:p w14:paraId="732E5ACD" w14:textId="622931DB" w:rsidR="004C0828" w:rsidRPr="00DD44AA" w:rsidRDefault="004C0828" w:rsidP="004C0828">
            <w:pPr>
              <w:spacing w:after="0"/>
              <w:rPr>
                <w:bCs/>
              </w:rPr>
            </w:pPr>
            <w:r w:rsidRPr="004C0828">
              <w:rPr>
                <w:bCs/>
                <w:sz w:val="20"/>
                <w:szCs w:val="20"/>
              </w:rPr>
              <w:t xml:space="preserve">The following covers the objectives for NR-NTN deployment in above 10 GHz bands. </w:t>
            </w:r>
            <w:r w:rsidRPr="004C0828">
              <w:rPr>
                <w:bCs/>
                <w:sz w:val="20"/>
                <w:szCs w:val="20"/>
                <w:highlight w:val="yellow"/>
              </w:rPr>
              <w:t>This work is expected to start after June 2022.</w:t>
            </w:r>
          </w:p>
        </w:tc>
      </w:tr>
    </w:tbl>
    <w:p w14:paraId="3E547274" w14:textId="77777777" w:rsidR="004C0828" w:rsidRDefault="004C0828" w:rsidP="00893F0E">
      <w:pPr>
        <w:spacing w:after="180"/>
        <w:jc w:val="both"/>
        <w:rPr>
          <w:lang w:val="en-GB" w:eastAsia="x-none"/>
        </w:rPr>
      </w:pPr>
    </w:p>
    <w:p w14:paraId="7D51B711" w14:textId="0F7C8075" w:rsidR="004C0828" w:rsidRDefault="004C0828" w:rsidP="00893F0E">
      <w:pPr>
        <w:spacing w:after="180"/>
        <w:jc w:val="both"/>
        <w:rPr>
          <w:lang w:val="en-GB" w:eastAsia="x-none"/>
        </w:rPr>
      </w:pPr>
      <w:r>
        <w:rPr>
          <w:lang w:val="en-GB" w:eastAsia="x-none"/>
        </w:rPr>
        <w:t xml:space="preserve">The work for </w:t>
      </w:r>
      <w:r w:rsidRPr="00134B7D">
        <w:rPr>
          <w:bCs/>
        </w:rPr>
        <w:t>NR-NTN deployment in above 10 GHz bands</w:t>
      </w:r>
      <w:r>
        <w:rPr>
          <w:bCs/>
        </w:rPr>
        <w:t xml:space="preserve"> will be start after June 2022, but we think the RRM work shall also be involved, </w:t>
      </w:r>
      <w:r w:rsidR="003469BE">
        <w:rPr>
          <w:bCs/>
        </w:rPr>
        <w:t>as</w:t>
      </w:r>
      <w:r>
        <w:rPr>
          <w:bCs/>
        </w:rPr>
        <w:t xml:space="preserve"> the R17 NTN has not considered any Rx beam-forming related requirements. In the deployment in </w:t>
      </w:r>
      <w:r w:rsidRPr="00134B7D">
        <w:rPr>
          <w:bCs/>
        </w:rPr>
        <w:t>above 10 GHz bands</w:t>
      </w:r>
      <w:r>
        <w:rPr>
          <w:bCs/>
        </w:rPr>
        <w:t>, if NTN UE has Rx beam-forming</w:t>
      </w:r>
      <w:r w:rsidR="003469BE">
        <w:rPr>
          <w:bCs/>
        </w:rPr>
        <w:t xml:space="preserve"> for a Non-GSO satellite</w:t>
      </w:r>
      <w:r>
        <w:rPr>
          <w:bCs/>
        </w:rPr>
        <w:t xml:space="preserve">, </w:t>
      </w:r>
      <w:r w:rsidR="003469BE">
        <w:rPr>
          <w:bCs/>
        </w:rPr>
        <w:t>the new measurement behavior might need more investigation since the legacy Rx beam sweeping factor is up to 8 which can cause very long measurement delay; that is, d</w:t>
      </w:r>
      <w:r w:rsidR="003469BE" w:rsidRPr="003469BE">
        <w:rPr>
          <w:bCs/>
        </w:rPr>
        <w:t xml:space="preserve">ifferent from FR1 NTN measurement, the Rx beam sweeping needs to be considered in 10GHz NTN case, however, since the Non-GSO satellite can move very fast, the legacy beam sweeping may not be able to track the DL signal timely, e.g., using SSB for beam tracking, </w:t>
      </w:r>
      <w:proofErr w:type="spellStart"/>
      <w:r w:rsidR="003469BE" w:rsidRPr="003469BE">
        <w:rPr>
          <w:bCs/>
        </w:rPr>
        <w:t>beam_sweeping_factor</w:t>
      </w:r>
      <w:proofErr w:type="spellEnd"/>
      <w:r w:rsidR="003469BE" w:rsidRPr="003469BE">
        <w:rPr>
          <w:bCs/>
        </w:rPr>
        <w:t xml:space="preserve"> * </w:t>
      </w:r>
      <w:r w:rsidR="003469BE" w:rsidRPr="003469BE">
        <w:rPr>
          <w:bCs/>
        </w:rPr>
        <w:lastRenderedPageBreak/>
        <w:t>SSB periodicity * sharing factor = 8*160ms * sharing factor =1280ms * sharing factor. Sharing factor</w:t>
      </w:r>
      <w:r w:rsidR="003469BE">
        <w:rPr>
          <w:bCs/>
        </w:rPr>
        <w:t xml:space="preserve"> here</w:t>
      </w:r>
      <w:r w:rsidR="003469BE" w:rsidRPr="003469BE">
        <w:rPr>
          <w:bCs/>
        </w:rPr>
        <w:t xml:space="preserve"> is the measurement resource sharing with other UE activities, e.g., L1 UE behavior or measurement gap on different carriers</w:t>
      </w:r>
      <w:r w:rsidR="003469BE">
        <w:rPr>
          <w:bCs/>
        </w:rPr>
        <w:t>.</w:t>
      </w:r>
    </w:p>
    <w:p w14:paraId="14C04B24" w14:textId="5131F874" w:rsidR="00DD44AA" w:rsidRDefault="003469BE" w:rsidP="00893F0E">
      <w:pPr>
        <w:spacing w:after="180"/>
        <w:jc w:val="both"/>
        <w:rPr>
          <w:lang w:val="en-GB" w:eastAsia="x-none"/>
        </w:rPr>
      </w:pPr>
      <w:r w:rsidRPr="003469BE">
        <w:rPr>
          <w:noProof/>
          <w:lang w:val="en-GB" w:eastAsia="x-none"/>
        </w:rPr>
        <w:drawing>
          <wp:inline distT="0" distB="0" distL="0" distR="0" wp14:anchorId="05155C27" wp14:editId="32E38ED6">
            <wp:extent cx="6120765" cy="1541145"/>
            <wp:effectExtent l="0" t="0" r="0" b="0"/>
            <wp:docPr id="1" name="Picture 1" descr="A picture containing las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laser&#10;&#10;Description automatically generated"/>
                    <pic:cNvPicPr/>
                  </pic:nvPicPr>
                  <pic:blipFill>
                    <a:blip r:embed="rId8"/>
                    <a:stretch>
                      <a:fillRect/>
                    </a:stretch>
                  </pic:blipFill>
                  <pic:spPr>
                    <a:xfrm>
                      <a:off x="0" y="0"/>
                      <a:ext cx="6120765" cy="1541145"/>
                    </a:xfrm>
                    <a:prstGeom prst="rect">
                      <a:avLst/>
                    </a:prstGeom>
                  </pic:spPr>
                </pic:pic>
              </a:graphicData>
            </a:graphic>
          </wp:inline>
        </w:drawing>
      </w:r>
    </w:p>
    <w:p w14:paraId="69FA9971" w14:textId="77777777" w:rsidR="003469BE" w:rsidRDefault="003469BE" w:rsidP="00893F0E">
      <w:pPr>
        <w:spacing w:after="180"/>
        <w:jc w:val="both"/>
        <w:rPr>
          <w:lang w:val="en-GB" w:eastAsia="x-none"/>
        </w:rPr>
      </w:pPr>
      <w:r>
        <w:rPr>
          <w:lang w:val="en-GB" w:eastAsia="x-none"/>
        </w:rPr>
        <w:t xml:space="preserve">Another potential issue is about the existing UE capability of </w:t>
      </w:r>
    </w:p>
    <w:p w14:paraId="3862A848" w14:textId="77777777" w:rsidR="003469BE" w:rsidRPr="003469BE" w:rsidRDefault="003469BE" w:rsidP="00893F0E">
      <w:pPr>
        <w:pStyle w:val="ListParagraph"/>
        <w:numPr>
          <w:ilvl w:val="0"/>
          <w:numId w:val="41"/>
        </w:numPr>
        <w:spacing w:after="180"/>
        <w:ind w:firstLineChars="0"/>
        <w:jc w:val="both"/>
        <w:rPr>
          <w:rFonts w:eastAsia="Times New Roman"/>
          <w:snapToGrid/>
          <w:sz w:val="24"/>
          <w:szCs w:val="24"/>
          <w:lang w:val="en-GB"/>
        </w:rPr>
      </w:pPr>
      <w:r w:rsidRPr="003469BE">
        <w:rPr>
          <w:rFonts w:eastAsia="Times New Roman"/>
          <w:i/>
          <w:iCs/>
          <w:snapToGrid/>
          <w:sz w:val="24"/>
          <w:szCs w:val="24"/>
          <w:lang w:val="en-GB"/>
        </w:rPr>
        <w:t>maxNumber-NGSO-SatellitesWithinOneSMTC-r17</w:t>
      </w:r>
      <w:r w:rsidRPr="003469BE">
        <w:rPr>
          <w:rFonts w:eastAsia="Times New Roman"/>
          <w:snapToGrid/>
          <w:sz w:val="24"/>
          <w:szCs w:val="24"/>
          <w:lang w:val="en-GB"/>
        </w:rPr>
        <w:t xml:space="preserve"> and </w:t>
      </w:r>
    </w:p>
    <w:p w14:paraId="0C60FC99" w14:textId="4EF216D4" w:rsidR="003469BE" w:rsidRPr="003469BE" w:rsidRDefault="003469BE" w:rsidP="00893F0E">
      <w:pPr>
        <w:pStyle w:val="ListParagraph"/>
        <w:numPr>
          <w:ilvl w:val="0"/>
          <w:numId w:val="41"/>
        </w:numPr>
        <w:spacing w:after="180"/>
        <w:ind w:firstLineChars="0"/>
        <w:jc w:val="both"/>
        <w:rPr>
          <w:rFonts w:eastAsia="Times New Roman"/>
          <w:snapToGrid/>
          <w:sz w:val="24"/>
          <w:szCs w:val="24"/>
          <w:lang w:val="en-GB"/>
        </w:rPr>
      </w:pPr>
      <w:r w:rsidRPr="003469BE">
        <w:rPr>
          <w:i/>
          <w:iCs/>
          <w:sz w:val="24"/>
          <w:szCs w:val="24"/>
          <w:lang w:val="en-GB"/>
        </w:rPr>
        <w:t>parallelMeasurementWithoutRestriction-r17</w:t>
      </w:r>
      <w:r w:rsidRPr="003469BE">
        <w:rPr>
          <w:sz w:val="24"/>
          <w:szCs w:val="24"/>
          <w:lang w:val="en-GB"/>
        </w:rPr>
        <w:t>,</w:t>
      </w:r>
    </w:p>
    <w:p w14:paraId="39736C31" w14:textId="2EB5F9B1" w:rsidR="00224A30" w:rsidRDefault="003469BE" w:rsidP="00893F0E">
      <w:pPr>
        <w:spacing w:after="180"/>
        <w:jc w:val="both"/>
        <w:rPr>
          <w:iCs/>
          <w:color w:val="000000" w:themeColor="text1"/>
        </w:rPr>
      </w:pPr>
      <w:r w:rsidRPr="003469BE">
        <w:rPr>
          <w:iCs/>
          <w:noProof/>
          <w:color w:val="000000" w:themeColor="text1"/>
        </w:rPr>
        <w:drawing>
          <wp:inline distT="0" distB="0" distL="0" distR="0" wp14:anchorId="1638C662" wp14:editId="1F361166">
            <wp:extent cx="6120765" cy="1494790"/>
            <wp:effectExtent l="0" t="0" r="635" b="381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pic:nvPicPr>
                  <pic:blipFill>
                    <a:blip r:embed="rId9"/>
                    <a:stretch>
                      <a:fillRect/>
                    </a:stretch>
                  </pic:blipFill>
                  <pic:spPr>
                    <a:xfrm>
                      <a:off x="0" y="0"/>
                      <a:ext cx="6120765" cy="1494790"/>
                    </a:xfrm>
                    <a:prstGeom prst="rect">
                      <a:avLst/>
                    </a:prstGeom>
                  </pic:spPr>
                </pic:pic>
              </a:graphicData>
            </a:graphic>
          </wp:inline>
        </w:drawing>
      </w:r>
    </w:p>
    <w:p w14:paraId="72A6B011" w14:textId="475F26B9" w:rsidR="003469BE" w:rsidRDefault="003469BE" w:rsidP="00893F0E">
      <w:pPr>
        <w:spacing w:after="180"/>
        <w:jc w:val="both"/>
        <w:rPr>
          <w:lang w:val="en-GB" w:eastAsia="x-none"/>
        </w:rPr>
      </w:pPr>
      <w:r w:rsidRPr="003469BE">
        <w:rPr>
          <w:lang w:val="en-GB" w:eastAsia="x-none"/>
        </w:rPr>
        <w:t xml:space="preserve">In </w:t>
      </w:r>
      <w:r w:rsidRPr="003469BE">
        <w:rPr>
          <w:i/>
          <w:iCs/>
          <w:lang w:val="en-GB" w:eastAsia="x-none"/>
        </w:rPr>
        <w:t>maxNumber-NGSO-SatellitesWithinOneSMTC-r17</w:t>
      </w:r>
      <w:r w:rsidRPr="003469BE">
        <w:rPr>
          <w:lang w:val="en-GB" w:eastAsia="x-none"/>
        </w:rPr>
        <w:t xml:space="preserve">, it’s only for FR1 and no Rx beam related measurement collision has been considered, that means, in FR1 UE </w:t>
      </w:r>
      <w:r>
        <w:rPr>
          <w:lang w:val="en-GB" w:eastAsia="x-none"/>
        </w:rPr>
        <w:t>can</w:t>
      </w:r>
      <w:r w:rsidRPr="003469BE">
        <w:rPr>
          <w:lang w:val="en-GB" w:eastAsia="x-none"/>
        </w:rPr>
        <w:t xml:space="preserve"> indicate to support multiple NGSO within SMTC for parallel measurement, however, in 10GHz NTN, the beam condition shall also be considered, and therefore UE may not be able to support parallel measurement.</w:t>
      </w:r>
    </w:p>
    <w:p w14:paraId="285D4F5D" w14:textId="4D89B051" w:rsidR="003469BE" w:rsidRDefault="00FE2C51" w:rsidP="00893F0E">
      <w:pPr>
        <w:spacing w:after="180"/>
        <w:jc w:val="both"/>
        <w:rPr>
          <w:lang w:val="en-GB" w:eastAsia="x-none"/>
        </w:rPr>
      </w:pPr>
      <w:r w:rsidRPr="00FE2C51">
        <w:rPr>
          <w:noProof/>
          <w:lang w:val="en-GB" w:eastAsia="x-none"/>
        </w:rPr>
        <w:drawing>
          <wp:inline distT="0" distB="0" distL="0" distR="0" wp14:anchorId="0848F458" wp14:editId="5F2946B0">
            <wp:extent cx="6120765" cy="1226820"/>
            <wp:effectExtent l="0" t="0" r="635" b="5080"/>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pic:nvPicPr>
                  <pic:blipFill>
                    <a:blip r:embed="rId10"/>
                    <a:stretch>
                      <a:fillRect/>
                    </a:stretch>
                  </pic:blipFill>
                  <pic:spPr>
                    <a:xfrm>
                      <a:off x="0" y="0"/>
                      <a:ext cx="6120765" cy="1226820"/>
                    </a:xfrm>
                    <a:prstGeom prst="rect">
                      <a:avLst/>
                    </a:prstGeom>
                  </pic:spPr>
                </pic:pic>
              </a:graphicData>
            </a:graphic>
          </wp:inline>
        </w:drawing>
      </w:r>
    </w:p>
    <w:p w14:paraId="363E0039" w14:textId="70C6E610" w:rsidR="00FE2C51" w:rsidRPr="003469BE" w:rsidRDefault="00FE2C51" w:rsidP="00893F0E">
      <w:pPr>
        <w:spacing w:after="180"/>
        <w:jc w:val="both"/>
        <w:rPr>
          <w:lang w:val="en-GB" w:eastAsia="x-none"/>
        </w:rPr>
      </w:pPr>
      <w:r w:rsidRPr="00FE2C51">
        <w:rPr>
          <w:lang w:val="en-GB" w:eastAsia="x-none"/>
        </w:rPr>
        <w:t xml:space="preserve">In </w:t>
      </w:r>
      <w:r w:rsidRPr="00FE2C51">
        <w:rPr>
          <w:i/>
          <w:iCs/>
          <w:lang w:val="en-GB" w:eastAsia="x-none"/>
        </w:rPr>
        <w:t>parallelMeasurementWithoutRestriction-r17</w:t>
      </w:r>
      <w:r w:rsidRPr="00FE2C51">
        <w:rPr>
          <w:lang w:val="en-GB" w:eastAsia="x-none"/>
        </w:rPr>
        <w:t>, it’s only for FR1 and no Rx beam related measurement collision has been considered, e.g., if the serving cell belongs to GSO satellite, no scheduling restriction is applied. However, when beam is considered, the measurement restriction may need to be re-considered in this capability design.</w:t>
      </w:r>
    </w:p>
    <w:p w14:paraId="7C138289" w14:textId="755927C9" w:rsidR="00224A30" w:rsidRPr="002D1506" w:rsidRDefault="00224A30" w:rsidP="00893F0E">
      <w:pPr>
        <w:spacing w:after="180"/>
        <w:jc w:val="both"/>
        <w:rPr>
          <w:b/>
          <w:bCs/>
          <w:i/>
          <w:color w:val="000000" w:themeColor="text1"/>
        </w:rPr>
      </w:pPr>
      <w:r w:rsidRPr="002D1506">
        <w:rPr>
          <w:b/>
          <w:bCs/>
          <w:i/>
          <w:color w:val="000000" w:themeColor="text1"/>
        </w:rPr>
        <w:t xml:space="preserve">Proposal 1: </w:t>
      </w:r>
      <w:r w:rsidR="00194DA2" w:rsidRPr="00194DA2">
        <w:rPr>
          <w:b/>
          <w:bCs/>
          <w:i/>
          <w:color w:val="000000" w:themeColor="text1"/>
        </w:rPr>
        <w:t xml:space="preserve">RAN4 to specify the </w:t>
      </w:r>
      <w:r w:rsidR="00194DA2">
        <w:rPr>
          <w:b/>
          <w:bCs/>
          <w:i/>
          <w:color w:val="000000" w:themeColor="text1"/>
        </w:rPr>
        <w:t xml:space="preserve">RRM </w:t>
      </w:r>
      <w:r w:rsidR="00194DA2" w:rsidRPr="00194DA2">
        <w:rPr>
          <w:b/>
          <w:bCs/>
          <w:i/>
          <w:color w:val="000000" w:themeColor="text1"/>
        </w:rPr>
        <w:t>requirement for NR-NTN deployment above 10 GHz bands</w:t>
      </w:r>
      <w:r w:rsidR="00194DA2" w:rsidRPr="00194DA2">
        <w:t xml:space="preserve"> </w:t>
      </w:r>
      <w:r w:rsidR="00194DA2" w:rsidRPr="00194DA2">
        <w:rPr>
          <w:b/>
          <w:bCs/>
          <w:i/>
          <w:color w:val="000000" w:themeColor="text1"/>
        </w:rPr>
        <w:t xml:space="preserve">after concrete conclusion is made </w:t>
      </w:r>
      <w:r w:rsidR="00194DA2">
        <w:rPr>
          <w:b/>
          <w:bCs/>
          <w:i/>
          <w:color w:val="000000" w:themeColor="text1"/>
        </w:rPr>
        <w:t>in</w:t>
      </w:r>
      <w:r w:rsidR="00194DA2" w:rsidRPr="00194DA2">
        <w:rPr>
          <w:b/>
          <w:bCs/>
          <w:i/>
          <w:color w:val="000000" w:themeColor="text1"/>
        </w:rPr>
        <w:t xml:space="preserve"> RF session</w:t>
      </w:r>
      <w:r w:rsidR="00194DA2">
        <w:rPr>
          <w:b/>
          <w:bCs/>
          <w:i/>
          <w:color w:val="000000" w:themeColor="text1"/>
        </w:rPr>
        <w:t xml:space="preserve">, e.g., </w:t>
      </w:r>
      <w:r w:rsidR="00194DA2" w:rsidRPr="00194DA2">
        <w:rPr>
          <w:b/>
          <w:bCs/>
          <w:i/>
          <w:color w:val="000000" w:themeColor="text1"/>
        </w:rPr>
        <w:t>Rx beam</w:t>
      </w:r>
      <w:r w:rsidR="00194DA2">
        <w:rPr>
          <w:b/>
          <w:bCs/>
          <w:i/>
          <w:color w:val="000000" w:themeColor="text1"/>
        </w:rPr>
        <w:t>-forming related RRM requirement</w:t>
      </w:r>
      <w:r w:rsidRPr="002D1506">
        <w:rPr>
          <w:b/>
          <w:bCs/>
          <w:i/>
          <w:color w:val="000000" w:themeColor="text1"/>
        </w:rPr>
        <w:t>.</w:t>
      </w:r>
    </w:p>
    <w:p w14:paraId="5BA94AB8" w14:textId="2BB32D95" w:rsidR="00194DA2" w:rsidRDefault="00F00240" w:rsidP="00194DA2">
      <w:pPr>
        <w:spacing w:after="180"/>
        <w:jc w:val="both"/>
        <w:rPr>
          <w:iCs/>
          <w:color w:val="000000" w:themeColor="text1"/>
        </w:rPr>
      </w:pPr>
      <w:r>
        <w:rPr>
          <w:iCs/>
          <w:color w:val="000000" w:themeColor="text1"/>
        </w:rPr>
        <w:t>Another aspect of this WI is “</w:t>
      </w:r>
      <w:r w:rsidR="00194DA2" w:rsidRPr="00134B7D">
        <w:rPr>
          <w:bCs/>
        </w:rPr>
        <w:t>NTN-TN and NTN-NTN mobility and service continuity enhancements</w:t>
      </w:r>
      <w:r>
        <w:rPr>
          <w:iCs/>
          <w:color w:val="000000" w:themeColor="text1"/>
        </w:rPr>
        <w:t>”</w:t>
      </w:r>
      <w:r w:rsidR="00194DA2">
        <w:rPr>
          <w:iCs/>
          <w:color w:val="000000" w:themeColor="text1"/>
        </w:rPr>
        <w:t>. The working scope is as followings:</w:t>
      </w:r>
    </w:p>
    <w:tbl>
      <w:tblPr>
        <w:tblStyle w:val="TableGrid"/>
        <w:tblW w:w="0" w:type="auto"/>
        <w:tblLook w:val="04A0" w:firstRow="1" w:lastRow="0" w:firstColumn="1" w:lastColumn="0" w:noHBand="0" w:noVBand="1"/>
      </w:tblPr>
      <w:tblGrid>
        <w:gridCol w:w="9629"/>
      </w:tblGrid>
      <w:tr w:rsidR="00194DA2" w14:paraId="653DB760" w14:textId="77777777" w:rsidTr="00194DA2">
        <w:tc>
          <w:tcPr>
            <w:tcW w:w="9629" w:type="dxa"/>
          </w:tcPr>
          <w:p w14:paraId="0BB0DB93" w14:textId="77777777" w:rsidR="00194DA2" w:rsidRPr="00194DA2" w:rsidRDefault="00194DA2" w:rsidP="00194DA2">
            <w:pPr>
              <w:spacing w:after="0"/>
              <w:rPr>
                <w:bCs/>
                <w:sz w:val="20"/>
                <w:szCs w:val="20"/>
              </w:rPr>
            </w:pPr>
            <w:r w:rsidRPr="00194DA2">
              <w:rPr>
                <w:bCs/>
                <w:sz w:val="20"/>
                <w:szCs w:val="20"/>
              </w:rPr>
              <w:lastRenderedPageBreak/>
              <w:t>This work considers existing methods from NR TN as well as outcome of Rel-17 NR NTN WI outcome as baseline for NTN-TN mobility.</w:t>
            </w:r>
          </w:p>
          <w:p w14:paraId="1AE4423D" w14:textId="77777777" w:rsidR="00194DA2" w:rsidRPr="00194DA2" w:rsidRDefault="00194DA2" w:rsidP="00194DA2">
            <w:pPr>
              <w:spacing w:after="0"/>
              <w:rPr>
                <w:bCs/>
                <w:sz w:val="20"/>
                <w:szCs w:val="20"/>
              </w:rPr>
            </w:pPr>
          </w:p>
          <w:p w14:paraId="41CDDB9A" w14:textId="77777777" w:rsidR="00194DA2" w:rsidRPr="00194DA2" w:rsidRDefault="00194DA2" w:rsidP="00194DA2">
            <w:pPr>
              <w:numPr>
                <w:ilvl w:val="0"/>
                <w:numId w:val="42"/>
              </w:numPr>
              <w:overflowPunct w:val="0"/>
              <w:autoSpaceDE w:val="0"/>
              <w:autoSpaceDN w:val="0"/>
              <w:adjustRightInd w:val="0"/>
              <w:spacing w:after="0"/>
              <w:textAlignment w:val="baseline"/>
              <w:rPr>
                <w:bCs/>
                <w:sz w:val="20"/>
                <w:szCs w:val="20"/>
              </w:rPr>
            </w:pPr>
            <w:r w:rsidRPr="00194DA2">
              <w:rPr>
                <w:bCs/>
                <w:sz w:val="20"/>
                <w:szCs w:val="20"/>
              </w:rPr>
              <w:t>Specify NTN-TN and NTN-NTN measurement/mobility and service continuity enhancements [RAN</w:t>
            </w:r>
            <w:proofErr w:type="gramStart"/>
            <w:r w:rsidRPr="00194DA2">
              <w:rPr>
                <w:bCs/>
                <w:sz w:val="20"/>
                <w:szCs w:val="20"/>
              </w:rPr>
              <w:t>2,RAN</w:t>
            </w:r>
            <w:proofErr w:type="gramEnd"/>
            <w:r w:rsidRPr="00194DA2">
              <w:rPr>
                <w:bCs/>
                <w:sz w:val="20"/>
                <w:szCs w:val="20"/>
              </w:rPr>
              <w:t>3,RAN4]</w:t>
            </w:r>
          </w:p>
          <w:p w14:paraId="116E7AB1" w14:textId="77777777" w:rsidR="00194DA2" w:rsidRPr="00194DA2" w:rsidRDefault="00194DA2" w:rsidP="00194DA2">
            <w:pPr>
              <w:numPr>
                <w:ilvl w:val="1"/>
                <w:numId w:val="42"/>
              </w:numPr>
              <w:overflowPunct w:val="0"/>
              <w:autoSpaceDE w:val="0"/>
              <w:autoSpaceDN w:val="0"/>
              <w:adjustRightInd w:val="0"/>
              <w:spacing w:after="0"/>
              <w:textAlignment w:val="baseline"/>
              <w:rPr>
                <w:bCs/>
                <w:color w:val="FF0000"/>
                <w:sz w:val="20"/>
                <w:szCs w:val="20"/>
              </w:rPr>
            </w:pPr>
            <w:r w:rsidRPr="00194DA2">
              <w:rPr>
                <w:bCs/>
                <w:color w:val="FF0000"/>
                <w:sz w:val="20"/>
                <w:szCs w:val="20"/>
              </w:rPr>
              <w:t>For NTN-NTN mobility, specify cell reselection enhancements for earth moving cell, the timing based and location-based cell reselection for quasi-earth fixed cell in Rel-17 can be considered as the starting point. [RAN2, RAN3, RAN4]</w:t>
            </w:r>
          </w:p>
          <w:p w14:paraId="56658050" w14:textId="77777777" w:rsidR="00194DA2" w:rsidRPr="00194DA2" w:rsidRDefault="00194DA2" w:rsidP="00194DA2">
            <w:pPr>
              <w:numPr>
                <w:ilvl w:val="1"/>
                <w:numId w:val="42"/>
              </w:numPr>
              <w:overflowPunct w:val="0"/>
              <w:autoSpaceDE w:val="0"/>
              <w:autoSpaceDN w:val="0"/>
              <w:adjustRightInd w:val="0"/>
              <w:spacing w:after="0"/>
              <w:textAlignment w:val="baseline"/>
              <w:rPr>
                <w:bCs/>
                <w:sz w:val="20"/>
                <w:szCs w:val="20"/>
              </w:rPr>
            </w:pPr>
            <w:r w:rsidRPr="00194DA2">
              <w:rPr>
                <w:bCs/>
                <w:sz w:val="20"/>
                <w:szCs w:val="20"/>
              </w:rPr>
              <w:t xml:space="preserve">Specify NTN-NTN handover enhancement for RRC_CONNECTED UEs in the quasi-earth-fixed cell and earth-moving cell to reduce the </w:t>
            </w:r>
            <w:proofErr w:type="spellStart"/>
            <w:r w:rsidRPr="00194DA2">
              <w:rPr>
                <w:bCs/>
                <w:sz w:val="20"/>
                <w:szCs w:val="20"/>
              </w:rPr>
              <w:t>signalling</w:t>
            </w:r>
            <w:proofErr w:type="spellEnd"/>
            <w:r w:rsidRPr="00194DA2">
              <w:rPr>
                <w:bCs/>
                <w:sz w:val="20"/>
                <w:szCs w:val="20"/>
              </w:rPr>
              <w:t xml:space="preserve"> overhead. [RAN2, RAN3]</w:t>
            </w:r>
          </w:p>
          <w:p w14:paraId="0EF856C1" w14:textId="77777777" w:rsidR="00194DA2" w:rsidRPr="00194DA2" w:rsidRDefault="00194DA2" w:rsidP="00194DA2">
            <w:pPr>
              <w:numPr>
                <w:ilvl w:val="1"/>
                <w:numId w:val="42"/>
              </w:numPr>
              <w:overflowPunct w:val="0"/>
              <w:autoSpaceDE w:val="0"/>
              <w:autoSpaceDN w:val="0"/>
              <w:adjustRightInd w:val="0"/>
              <w:spacing w:after="0"/>
              <w:textAlignment w:val="baseline"/>
              <w:rPr>
                <w:bCs/>
                <w:color w:val="FF0000"/>
                <w:sz w:val="20"/>
                <w:szCs w:val="20"/>
              </w:rPr>
            </w:pPr>
            <w:r w:rsidRPr="00194DA2">
              <w:rPr>
                <w:bCs/>
                <w:color w:val="FF0000"/>
                <w:sz w:val="20"/>
                <w:szCs w:val="20"/>
              </w:rPr>
              <w:t>Specify cell reselection enhancements for RRC_IDLE/INACTIVE UEs to reduce UE power consumption (NTN-TN mobility is prioritized). [RAN2, RAN3, RAN4]</w:t>
            </w:r>
          </w:p>
          <w:p w14:paraId="032CB58E" w14:textId="181D4E6E" w:rsidR="00194DA2" w:rsidRPr="00194DA2" w:rsidRDefault="00194DA2" w:rsidP="00194DA2">
            <w:pPr>
              <w:numPr>
                <w:ilvl w:val="1"/>
                <w:numId w:val="42"/>
              </w:numPr>
              <w:overflowPunct w:val="0"/>
              <w:autoSpaceDE w:val="0"/>
              <w:autoSpaceDN w:val="0"/>
              <w:adjustRightInd w:val="0"/>
              <w:spacing w:after="0"/>
              <w:textAlignment w:val="baseline"/>
              <w:rPr>
                <w:bCs/>
              </w:rPr>
            </w:pPr>
            <w:r w:rsidRPr="00194DA2">
              <w:rPr>
                <w:bCs/>
                <w:sz w:val="20"/>
                <w:szCs w:val="20"/>
              </w:rPr>
              <w:t xml:space="preserve">Study and, if needed, specify enhancement to </w:t>
            </w:r>
            <w:proofErr w:type="spellStart"/>
            <w:r w:rsidRPr="00194DA2">
              <w:rPr>
                <w:bCs/>
                <w:sz w:val="20"/>
                <w:szCs w:val="20"/>
              </w:rPr>
              <w:t>Xn</w:t>
            </w:r>
            <w:proofErr w:type="spellEnd"/>
            <w:r w:rsidRPr="00194DA2">
              <w:rPr>
                <w:bCs/>
                <w:sz w:val="20"/>
                <w:szCs w:val="20"/>
              </w:rPr>
              <w:t xml:space="preserve">[/NG] </w:t>
            </w:r>
            <w:proofErr w:type="spellStart"/>
            <w:r w:rsidRPr="00194DA2">
              <w:rPr>
                <w:bCs/>
                <w:sz w:val="20"/>
                <w:szCs w:val="20"/>
              </w:rPr>
              <w:t>signalling</w:t>
            </w:r>
            <w:proofErr w:type="spellEnd"/>
            <w:r w:rsidRPr="00194DA2">
              <w:rPr>
                <w:bCs/>
                <w:sz w:val="20"/>
                <w:szCs w:val="20"/>
              </w:rPr>
              <w:t xml:space="preserve"> to support feeder link switch-over, CHO, </w:t>
            </w:r>
            <w:proofErr w:type="gramStart"/>
            <w:r w:rsidRPr="00194DA2">
              <w:rPr>
                <w:bCs/>
                <w:sz w:val="20"/>
                <w:szCs w:val="20"/>
              </w:rPr>
              <w:t>e.g.</w:t>
            </w:r>
            <w:proofErr w:type="gramEnd"/>
            <w:r w:rsidRPr="00194DA2">
              <w:rPr>
                <w:bCs/>
                <w:sz w:val="20"/>
                <w:szCs w:val="20"/>
              </w:rPr>
              <w:t xml:space="preserve"> exchange of necessary information between </w:t>
            </w:r>
            <w:proofErr w:type="spellStart"/>
            <w:r w:rsidRPr="00194DA2">
              <w:rPr>
                <w:bCs/>
                <w:sz w:val="20"/>
                <w:szCs w:val="20"/>
              </w:rPr>
              <w:t>gNBs</w:t>
            </w:r>
            <w:proofErr w:type="spellEnd"/>
            <w:r w:rsidRPr="00194DA2">
              <w:rPr>
                <w:bCs/>
                <w:sz w:val="20"/>
                <w:szCs w:val="20"/>
              </w:rPr>
              <w:t>. [RAN3]</w:t>
            </w:r>
          </w:p>
        </w:tc>
      </w:tr>
    </w:tbl>
    <w:p w14:paraId="13E886E5" w14:textId="37568E34" w:rsidR="00194DA2" w:rsidRDefault="00194DA2" w:rsidP="00194DA2">
      <w:pPr>
        <w:spacing w:after="180"/>
        <w:jc w:val="both"/>
        <w:rPr>
          <w:b/>
          <w:bCs/>
          <w:i/>
          <w:color w:val="000000" w:themeColor="text1"/>
        </w:rPr>
      </w:pPr>
    </w:p>
    <w:p w14:paraId="0E9A3C3B" w14:textId="4965F106" w:rsidR="00194DA2" w:rsidRDefault="00194DA2" w:rsidP="00194DA2">
      <w:pPr>
        <w:spacing w:after="180"/>
        <w:jc w:val="both"/>
        <w:rPr>
          <w:iCs/>
          <w:color w:val="000000" w:themeColor="text1"/>
        </w:rPr>
      </w:pPr>
      <w:r w:rsidRPr="00194DA2">
        <w:rPr>
          <w:iCs/>
          <w:color w:val="000000" w:themeColor="text1"/>
        </w:rPr>
        <w:t>And in last RAN2 meeting, some conclusions have been made below,</w:t>
      </w:r>
    </w:p>
    <w:tbl>
      <w:tblPr>
        <w:tblStyle w:val="TableGrid"/>
        <w:tblW w:w="0" w:type="auto"/>
        <w:tblLook w:val="04A0" w:firstRow="1" w:lastRow="0" w:firstColumn="1" w:lastColumn="0" w:noHBand="0" w:noVBand="1"/>
      </w:tblPr>
      <w:tblGrid>
        <w:gridCol w:w="9629"/>
      </w:tblGrid>
      <w:tr w:rsidR="00194DA2" w14:paraId="0F827B5B" w14:textId="77777777" w:rsidTr="00194DA2">
        <w:tc>
          <w:tcPr>
            <w:tcW w:w="9629" w:type="dxa"/>
          </w:tcPr>
          <w:p w14:paraId="7230AB52"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Agreements:</w:t>
            </w:r>
          </w:p>
          <w:p w14:paraId="50296FE2"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1.</w:t>
            </w:r>
            <w:r w:rsidRPr="00194DA2">
              <w:rPr>
                <w:iCs/>
                <w:color w:val="000000" w:themeColor="text1"/>
                <w:sz w:val="20"/>
                <w:szCs w:val="20"/>
              </w:rPr>
              <w:tab/>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500FF51B"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2.</w:t>
            </w:r>
            <w:r w:rsidRPr="00194DA2">
              <w:rPr>
                <w:iCs/>
                <w:color w:val="000000" w:themeColor="text1"/>
                <w:sz w:val="20"/>
                <w:szCs w:val="20"/>
              </w:rPr>
              <w:tab/>
              <w:t>To enhance NTN-TN cell reselection, means are defined for a UE to differentiate when camping in an area only covered by NTN network (earth-moving or earth-fixed) vs an area where TN network(s) is/are also available.</w:t>
            </w:r>
          </w:p>
          <w:p w14:paraId="14860A65"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Agreements:</w:t>
            </w:r>
          </w:p>
          <w:p w14:paraId="754975EB"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1.</w:t>
            </w:r>
            <w:r w:rsidRPr="00194DA2">
              <w:rPr>
                <w:iCs/>
                <w:color w:val="000000" w:themeColor="text1"/>
                <w:sz w:val="20"/>
                <w:szCs w:val="20"/>
              </w:rPr>
              <w:tab/>
              <w:t>System information is the basic means for providing necessary parameters to assist UE to estimate when the serving cell stops providing coverage at the present UE location.</w:t>
            </w:r>
          </w:p>
          <w:p w14:paraId="1E3D9F2D"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2.</w:t>
            </w:r>
            <w:r w:rsidRPr="00194DA2">
              <w:rPr>
                <w:iCs/>
                <w:color w:val="000000" w:themeColor="text1"/>
                <w:sz w:val="20"/>
                <w:szCs w:val="20"/>
              </w:rPr>
              <w:tab/>
              <w:t xml:space="preserve">UE is not required to perform </w:t>
            </w:r>
            <w:proofErr w:type="spellStart"/>
            <w:r w:rsidRPr="00194DA2">
              <w:rPr>
                <w:iCs/>
                <w:color w:val="000000" w:themeColor="text1"/>
                <w:sz w:val="20"/>
                <w:szCs w:val="20"/>
              </w:rPr>
              <w:t>neighbour</w:t>
            </w:r>
            <w:proofErr w:type="spellEnd"/>
            <w:r w:rsidRPr="00194DA2">
              <w:rPr>
                <w:iCs/>
                <w:color w:val="000000" w:themeColor="text1"/>
                <w:sz w:val="20"/>
                <w:szCs w:val="20"/>
              </w:rPr>
              <w:t xml:space="preserve"> cell measurements for TN </w:t>
            </w:r>
            <w:proofErr w:type="spellStart"/>
            <w:r w:rsidRPr="00194DA2">
              <w:rPr>
                <w:iCs/>
                <w:color w:val="000000" w:themeColor="text1"/>
                <w:sz w:val="20"/>
                <w:szCs w:val="20"/>
              </w:rPr>
              <w:t>neighbour</w:t>
            </w:r>
            <w:proofErr w:type="spellEnd"/>
            <w:r w:rsidRPr="00194DA2">
              <w:rPr>
                <w:iCs/>
                <w:color w:val="000000" w:themeColor="text1"/>
                <w:sz w:val="20"/>
                <w:szCs w:val="20"/>
              </w:rPr>
              <w:t xml:space="preserve"> cells in an area where there is no TN network coverage.</w:t>
            </w:r>
          </w:p>
          <w:p w14:paraId="3D103CEB"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3.</w:t>
            </w:r>
            <w:r w:rsidRPr="00194DA2">
              <w:rPr>
                <w:iCs/>
                <w:color w:val="000000" w:themeColor="text1"/>
                <w:sz w:val="20"/>
                <w:szCs w:val="20"/>
              </w:rPr>
              <w:tab/>
              <w:t>The method of detecting the transmission energy or SIB presence to determine the NTN coverage when a UE currently camps on a TN cell is not pursued.</w:t>
            </w:r>
          </w:p>
          <w:p w14:paraId="32FDC65C"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4.</w:t>
            </w:r>
            <w:r w:rsidRPr="00194DA2">
              <w:rPr>
                <w:iCs/>
                <w:color w:val="000000" w:themeColor="text1"/>
                <w:sz w:val="20"/>
                <w:szCs w:val="20"/>
              </w:rPr>
              <w:tab/>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4CAF79BC"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Agreements</w:t>
            </w:r>
          </w:p>
          <w:p w14:paraId="02DDF1A0"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1.</w:t>
            </w:r>
            <w:r w:rsidRPr="00194DA2">
              <w:rPr>
                <w:iCs/>
                <w:color w:val="000000" w:themeColor="text1"/>
                <w:sz w:val="20"/>
                <w:szCs w:val="20"/>
              </w:rPr>
              <w:tab/>
              <w:t xml:space="preserve">RAN2 can further consider whether some information in the handover command that can be common to all UEs, can be delivered to UEs in common </w:t>
            </w:r>
            <w:proofErr w:type="spellStart"/>
            <w:r w:rsidRPr="00194DA2">
              <w:rPr>
                <w:iCs/>
                <w:color w:val="000000" w:themeColor="text1"/>
                <w:sz w:val="20"/>
                <w:szCs w:val="20"/>
              </w:rPr>
              <w:t>signalling</w:t>
            </w:r>
            <w:proofErr w:type="spellEnd"/>
            <w:r w:rsidRPr="00194DA2">
              <w:rPr>
                <w:iCs/>
                <w:color w:val="000000" w:themeColor="text1"/>
                <w:sz w:val="20"/>
                <w:szCs w:val="20"/>
              </w:rPr>
              <w:t xml:space="preserve"> and if there is real benefit (in terms of </w:t>
            </w:r>
            <w:proofErr w:type="spellStart"/>
            <w:r w:rsidRPr="00194DA2">
              <w:rPr>
                <w:iCs/>
                <w:color w:val="000000" w:themeColor="text1"/>
                <w:sz w:val="20"/>
                <w:szCs w:val="20"/>
              </w:rPr>
              <w:t>signalling</w:t>
            </w:r>
            <w:proofErr w:type="spellEnd"/>
            <w:r w:rsidRPr="00194DA2">
              <w:rPr>
                <w:iCs/>
                <w:color w:val="000000" w:themeColor="text1"/>
                <w:sz w:val="20"/>
                <w:szCs w:val="20"/>
              </w:rPr>
              <w:t xml:space="preserve"> overhead reduction) in this</w:t>
            </w:r>
          </w:p>
          <w:p w14:paraId="71CAF3B8"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2.</w:t>
            </w:r>
            <w:r w:rsidRPr="00194DA2">
              <w:rPr>
                <w:iCs/>
                <w:color w:val="000000" w:themeColor="text1"/>
                <w:sz w:val="20"/>
                <w:szCs w:val="20"/>
              </w:rPr>
              <w:tab/>
              <w:t>Send an LS to RAN1 (cc RAN4) listing the scenarios (intra-satellite, inter-satellite with same or different feeder links) and check with RAN1 in which scenarios RACH-less is possible (with no indication of RAN2 preference)</w:t>
            </w:r>
          </w:p>
          <w:p w14:paraId="4244183C"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Agreements:</w:t>
            </w:r>
          </w:p>
          <w:p w14:paraId="2B0F07DA"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1.</w:t>
            </w:r>
            <w:r w:rsidRPr="00194DA2">
              <w:rPr>
                <w:iCs/>
                <w:color w:val="000000" w:themeColor="text1"/>
                <w:sz w:val="20"/>
                <w:szCs w:val="20"/>
              </w:rPr>
              <w:tab/>
              <w:t>Continue the discussion (in future meeting) on group HO / “UE specific pre-configuration of the target cell + group HO” indication in the next meeting, also on the possible real benefits.</w:t>
            </w:r>
          </w:p>
          <w:p w14:paraId="4D574315"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Agreements:</w:t>
            </w:r>
          </w:p>
          <w:p w14:paraId="27B568C1"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1.</w:t>
            </w:r>
            <w:r w:rsidRPr="00194DA2">
              <w:rPr>
                <w:iCs/>
                <w:color w:val="000000" w:themeColor="text1"/>
                <w:sz w:val="20"/>
                <w:szCs w:val="20"/>
              </w:rPr>
              <w:tab/>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75806BB5"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2.</w:t>
            </w:r>
            <w:r w:rsidRPr="00194DA2">
              <w:rPr>
                <w:iCs/>
                <w:color w:val="000000" w:themeColor="text1"/>
                <w:sz w:val="20"/>
                <w:szCs w:val="20"/>
              </w:rPr>
              <w:tab/>
              <w:t>New Proposal 2: RAN2 continues the discussion (</w:t>
            </w:r>
            <w:proofErr w:type="gramStart"/>
            <w:r w:rsidRPr="00194DA2">
              <w:rPr>
                <w:iCs/>
                <w:color w:val="000000" w:themeColor="text1"/>
                <w:sz w:val="20"/>
                <w:szCs w:val="20"/>
              </w:rPr>
              <w:t>e.g.</w:t>
            </w:r>
            <w:proofErr w:type="gramEnd"/>
            <w:r w:rsidRPr="00194DA2">
              <w:rPr>
                <w:iCs/>
                <w:color w:val="000000" w:themeColor="text1"/>
                <w:sz w:val="20"/>
                <w:szCs w:val="20"/>
              </w:rPr>
              <w:t xml:space="preserve"> at RAN2#120) on the solution with keeping the same PCI after switching of the satellites. Clarify at least the following: </w:t>
            </w:r>
          </w:p>
          <w:p w14:paraId="5AB0F66A"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ab/>
              <w:t>•</w:t>
            </w:r>
            <w:r w:rsidRPr="00194DA2">
              <w:rPr>
                <w:iCs/>
                <w:color w:val="000000" w:themeColor="text1"/>
                <w:sz w:val="20"/>
                <w:szCs w:val="20"/>
              </w:rPr>
              <w:tab/>
              <w:t>RAN1 impact</w:t>
            </w:r>
          </w:p>
          <w:p w14:paraId="51EA1D7E" w14:textId="77777777" w:rsidR="00194DA2" w:rsidRPr="00194DA2" w:rsidRDefault="00194DA2" w:rsidP="009C74CC">
            <w:pPr>
              <w:spacing w:after="0"/>
              <w:jc w:val="both"/>
              <w:rPr>
                <w:iCs/>
                <w:color w:val="000000" w:themeColor="text1"/>
                <w:sz w:val="20"/>
                <w:szCs w:val="20"/>
              </w:rPr>
            </w:pPr>
            <w:r w:rsidRPr="00194DA2">
              <w:rPr>
                <w:iCs/>
                <w:color w:val="000000" w:themeColor="text1"/>
                <w:sz w:val="20"/>
                <w:szCs w:val="20"/>
              </w:rPr>
              <w:tab/>
              <w:t>•</w:t>
            </w:r>
            <w:r w:rsidRPr="00194DA2">
              <w:rPr>
                <w:iCs/>
                <w:color w:val="000000" w:themeColor="text1"/>
                <w:sz w:val="20"/>
                <w:szCs w:val="20"/>
              </w:rPr>
              <w:tab/>
              <w:t xml:space="preserve">The need to perform UL beam switching and/or RA </w:t>
            </w:r>
          </w:p>
          <w:p w14:paraId="75030277" w14:textId="1D7A5493" w:rsidR="00194DA2" w:rsidRDefault="00194DA2" w:rsidP="009C74CC">
            <w:pPr>
              <w:spacing w:after="0"/>
              <w:jc w:val="both"/>
              <w:rPr>
                <w:iCs/>
                <w:color w:val="000000" w:themeColor="text1"/>
              </w:rPr>
            </w:pPr>
            <w:r w:rsidRPr="00194DA2">
              <w:rPr>
                <w:iCs/>
                <w:color w:val="000000" w:themeColor="text1"/>
                <w:sz w:val="20"/>
                <w:szCs w:val="20"/>
              </w:rPr>
              <w:tab/>
              <w:t>•</w:t>
            </w:r>
            <w:r w:rsidRPr="00194DA2">
              <w:rPr>
                <w:iCs/>
                <w:color w:val="000000" w:themeColor="text1"/>
                <w:sz w:val="20"/>
                <w:szCs w:val="20"/>
              </w:rPr>
              <w:tab/>
              <w:t>Applicability to hard or soft satellite switching</w:t>
            </w:r>
          </w:p>
        </w:tc>
      </w:tr>
    </w:tbl>
    <w:p w14:paraId="66DC43A7" w14:textId="1C51A78B" w:rsidR="00194DA2" w:rsidRDefault="00194DA2" w:rsidP="00194DA2">
      <w:pPr>
        <w:spacing w:after="180"/>
        <w:jc w:val="both"/>
        <w:rPr>
          <w:iCs/>
          <w:color w:val="000000" w:themeColor="text1"/>
        </w:rPr>
      </w:pPr>
    </w:p>
    <w:p w14:paraId="6B526AA4" w14:textId="77777777" w:rsidR="00B254E5" w:rsidRDefault="00B254E5" w:rsidP="00B254E5">
      <w:pPr>
        <w:spacing w:after="187"/>
        <w:jc w:val="both"/>
        <w:rPr>
          <w:iCs/>
          <w:color w:val="000000" w:themeColor="text1"/>
        </w:rPr>
      </w:pPr>
      <w:r>
        <w:rPr>
          <w:iCs/>
          <w:color w:val="000000" w:themeColor="text1"/>
        </w:rPr>
        <w:t xml:space="preserve">According to the RAN2 agreements, the open issues are not concretely addressed in RAN2 for NTN-NTN mobility with earth moving cell, NTN-TN mobility, group-HO, RACH-less HO, soft </w:t>
      </w:r>
      <w:r w:rsidRPr="00B254E5">
        <w:rPr>
          <w:iCs/>
          <w:color w:val="000000" w:themeColor="text1"/>
        </w:rPr>
        <w:t>satellite switching</w:t>
      </w:r>
      <w:r>
        <w:rPr>
          <w:iCs/>
          <w:color w:val="000000" w:themeColor="text1"/>
        </w:rPr>
        <w:t xml:space="preserve"> (</w:t>
      </w:r>
      <w:r w:rsidRPr="00B254E5">
        <w:rPr>
          <w:iCs/>
          <w:color w:val="000000" w:themeColor="text1"/>
        </w:rPr>
        <w:t>continuity enhancements</w:t>
      </w:r>
      <w:r>
        <w:rPr>
          <w:iCs/>
          <w:color w:val="000000" w:themeColor="text1"/>
        </w:rPr>
        <w:t xml:space="preserve">), and so on. Thus, in our view RAN4 RRM work can start after </w:t>
      </w:r>
      <w:r>
        <w:rPr>
          <w:iCs/>
          <w:color w:val="000000" w:themeColor="text1"/>
        </w:rPr>
        <w:lastRenderedPageBreak/>
        <w:t xml:space="preserve">RAN2 has more conclusion on these open issues. However, at least, we can agree with RAN understanding that </w:t>
      </w:r>
    </w:p>
    <w:p w14:paraId="7A1C3168" w14:textId="1B8E6E6F" w:rsidR="00B254E5" w:rsidRPr="00B254E5" w:rsidRDefault="00B254E5" w:rsidP="00B254E5">
      <w:pPr>
        <w:pStyle w:val="ListParagraph"/>
        <w:numPr>
          <w:ilvl w:val="0"/>
          <w:numId w:val="41"/>
        </w:numPr>
        <w:spacing w:after="187" w:line="240" w:lineRule="auto"/>
        <w:ind w:firstLineChars="0"/>
        <w:jc w:val="both"/>
        <w:rPr>
          <w:rFonts w:eastAsia="Times New Roman"/>
          <w:iCs/>
          <w:snapToGrid/>
          <w:color w:val="000000" w:themeColor="text1"/>
          <w:sz w:val="24"/>
          <w:szCs w:val="24"/>
          <w:lang w:val="en-US" w:eastAsia="zh-CN"/>
        </w:rPr>
      </w:pPr>
      <w:r w:rsidRPr="00B254E5">
        <w:rPr>
          <w:rFonts w:eastAsia="Times New Roman"/>
          <w:iCs/>
          <w:snapToGrid/>
          <w:color w:val="000000" w:themeColor="text1"/>
          <w:sz w:val="24"/>
          <w:szCs w:val="24"/>
          <w:lang w:val="en-US" w:eastAsia="zh-CN"/>
        </w:rPr>
        <w:t xml:space="preserve">the RRM requirement for timing based and location-based cell reselection for quasi-earth fixed cell in Rel-17 can be considered as the starting point for NTN-NTN cell reselection requirement with earth moving cell </w:t>
      </w:r>
    </w:p>
    <w:p w14:paraId="03953406" w14:textId="5DD1DD82" w:rsidR="00B254E5" w:rsidRDefault="00B254E5" w:rsidP="00B254E5">
      <w:pPr>
        <w:pStyle w:val="ListParagraph"/>
        <w:numPr>
          <w:ilvl w:val="0"/>
          <w:numId w:val="41"/>
        </w:numPr>
        <w:spacing w:after="187" w:line="240" w:lineRule="auto"/>
        <w:ind w:firstLineChars="0"/>
        <w:jc w:val="both"/>
        <w:rPr>
          <w:rFonts w:eastAsia="Times New Roman"/>
          <w:iCs/>
          <w:snapToGrid/>
          <w:color w:val="000000" w:themeColor="text1"/>
          <w:sz w:val="24"/>
          <w:szCs w:val="24"/>
          <w:lang w:val="en-US" w:eastAsia="zh-CN"/>
        </w:rPr>
      </w:pPr>
      <w:r>
        <w:rPr>
          <w:rFonts w:eastAsia="Times New Roman"/>
          <w:iCs/>
          <w:snapToGrid/>
          <w:color w:val="000000" w:themeColor="text1"/>
          <w:sz w:val="24"/>
          <w:szCs w:val="24"/>
          <w:lang w:val="en-US" w:eastAsia="zh-CN"/>
        </w:rPr>
        <w:t>RAN4 needs to specify RRM requirement for NTN-TN mobility</w:t>
      </w:r>
      <w:r w:rsidR="006E7A02">
        <w:rPr>
          <w:rFonts w:eastAsia="Times New Roman"/>
          <w:iCs/>
          <w:snapToGrid/>
          <w:color w:val="000000" w:themeColor="text1"/>
          <w:sz w:val="24"/>
          <w:szCs w:val="24"/>
          <w:lang w:val="en-US" w:eastAsia="zh-CN"/>
        </w:rPr>
        <w:t xml:space="preserve"> in R18</w:t>
      </w:r>
      <w:r w:rsidRPr="00B254E5">
        <w:rPr>
          <w:rFonts w:eastAsia="Times New Roman"/>
          <w:iCs/>
          <w:snapToGrid/>
          <w:color w:val="000000" w:themeColor="text1"/>
          <w:sz w:val="24"/>
          <w:szCs w:val="24"/>
          <w:lang w:val="en-US" w:eastAsia="zh-CN"/>
        </w:rPr>
        <w:t xml:space="preserve"> </w:t>
      </w:r>
    </w:p>
    <w:p w14:paraId="28970E3A" w14:textId="77777777" w:rsidR="006E7A02" w:rsidRPr="006E7A02" w:rsidRDefault="00B254E5" w:rsidP="00B254E5">
      <w:pPr>
        <w:spacing w:after="187"/>
        <w:jc w:val="both"/>
        <w:rPr>
          <w:b/>
          <w:bCs/>
          <w:i/>
          <w:color w:val="000000" w:themeColor="text1"/>
        </w:rPr>
      </w:pPr>
      <w:r w:rsidRPr="006E7A02">
        <w:rPr>
          <w:b/>
          <w:bCs/>
          <w:i/>
          <w:color w:val="000000" w:themeColor="text1"/>
        </w:rPr>
        <w:t xml:space="preserve">Proposal 2: </w:t>
      </w:r>
    </w:p>
    <w:p w14:paraId="78E7EDE7" w14:textId="77777777" w:rsidR="006E7A02" w:rsidRPr="006E7A02" w:rsidRDefault="00B254E5" w:rsidP="00B254E5">
      <w:pPr>
        <w:spacing w:after="187"/>
        <w:jc w:val="both"/>
        <w:rPr>
          <w:b/>
          <w:bCs/>
          <w:i/>
          <w:color w:val="000000" w:themeColor="text1"/>
        </w:rPr>
      </w:pPr>
      <w:r w:rsidRPr="006E7A02">
        <w:rPr>
          <w:b/>
          <w:bCs/>
          <w:i/>
          <w:color w:val="000000" w:themeColor="text1"/>
        </w:rPr>
        <w:t xml:space="preserve">For </w:t>
      </w:r>
      <w:r w:rsidRPr="006E7A02">
        <w:rPr>
          <w:b/>
          <w:bCs/>
          <w:i/>
        </w:rPr>
        <w:t>NTN-TN and NTN-NTN mobility and service continuity enhancements,</w:t>
      </w:r>
      <w:r w:rsidRPr="006E7A02">
        <w:rPr>
          <w:b/>
          <w:bCs/>
          <w:i/>
          <w:color w:val="000000" w:themeColor="text1"/>
        </w:rPr>
        <w:t xml:space="preserve"> RAN4 RRM work can start after RAN2 has more conclusions. </w:t>
      </w:r>
    </w:p>
    <w:p w14:paraId="2B2E7EAF" w14:textId="79812C31" w:rsidR="006E7A02" w:rsidRPr="006E7A02" w:rsidRDefault="006E7A02" w:rsidP="00B254E5">
      <w:pPr>
        <w:spacing w:after="187"/>
        <w:jc w:val="both"/>
        <w:rPr>
          <w:b/>
          <w:bCs/>
          <w:i/>
          <w:color w:val="000000" w:themeColor="text1"/>
        </w:rPr>
      </w:pPr>
      <w:r w:rsidRPr="006E7A02">
        <w:rPr>
          <w:b/>
          <w:bCs/>
          <w:i/>
          <w:color w:val="000000" w:themeColor="text1"/>
        </w:rPr>
        <w:t>In addition, RAN4 to agree:</w:t>
      </w:r>
    </w:p>
    <w:p w14:paraId="12FED81D" w14:textId="77777777" w:rsidR="006E7A02" w:rsidRPr="006E7A02" w:rsidRDefault="006E7A02" w:rsidP="006E7A02">
      <w:pPr>
        <w:pStyle w:val="ListParagraph"/>
        <w:numPr>
          <w:ilvl w:val="0"/>
          <w:numId w:val="41"/>
        </w:numPr>
        <w:spacing w:after="187" w:line="240" w:lineRule="auto"/>
        <w:ind w:firstLineChars="0"/>
        <w:jc w:val="both"/>
        <w:rPr>
          <w:rFonts w:eastAsia="Times New Roman"/>
          <w:b/>
          <w:bCs/>
          <w:i/>
          <w:snapToGrid/>
          <w:color w:val="000000" w:themeColor="text1"/>
          <w:sz w:val="24"/>
          <w:szCs w:val="24"/>
          <w:lang w:val="en-US" w:eastAsia="zh-CN"/>
        </w:rPr>
      </w:pPr>
      <w:r w:rsidRPr="006E7A02">
        <w:rPr>
          <w:rFonts w:eastAsia="Times New Roman"/>
          <w:b/>
          <w:bCs/>
          <w:i/>
          <w:snapToGrid/>
          <w:color w:val="000000" w:themeColor="text1"/>
          <w:sz w:val="24"/>
          <w:szCs w:val="24"/>
          <w:lang w:val="en-US" w:eastAsia="zh-CN"/>
        </w:rPr>
        <w:t xml:space="preserve">the RRM requirement for timing based and location-based cell reselection for quasi-earth fixed cell in Rel-17 can be considered as the starting point for NTN-NTN cell reselection requirement with earth moving cell </w:t>
      </w:r>
    </w:p>
    <w:p w14:paraId="55B59B50" w14:textId="74D3AD38" w:rsidR="006E7A02" w:rsidRDefault="006E7A02" w:rsidP="006E7A02">
      <w:pPr>
        <w:pStyle w:val="ListParagraph"/>
        <w:numPr>
          <w:ilvl w:val="0"/>
          <w:numId w:val="41"/>
        </w:numPr>
        <w:spacing w:after="187" w:line="240" w:lineRule="auto"/>
        <w:ind w:firstLineChars="0"/>
        <w:jc w:val="both"/>
        <w:rPr>
          <w:rFonts w:eastAsia="Times New Roman"/>
          <w:b/>
          <w:bCs/>
          <w:i/>
          <w:snapToGrid/>
          <w:color w:val="000000" w:themeColor="text1"/>
          <w:sz w:val="24"/>
          <w:szCs w:val="24"/>
          <w:lang w:val="en-US" w:eastAsia="zh-CN"/>
        </w:rPr>
      </w:pPr>
      <w:r w:rsidRPr="006E7A02">
        <w:rPr>
          <w:rFonts w:eastAsia="Times New Roman"/>
          <w:b/>
          <w:bCs/>
          <w:i/>
          <w:snapToGrid/>
          <w:color w:val="000000" w:themeColor="text1"/>
          <w:sz w:val="24"/>
          <w:szCs w:val="24"/>
          <w:lang w:val="en-US" w:eastAsia="zh-CN"/>
        </w:rPr>
        <w:t>RAN4 needs to specify RRM requirement for NTN-TN mobility</w:t>
      </w:r>
      <w:r>
        <w:rPr>
          <w:rFonts w:eastAsia="Times New Roman"/>
          <w:b/>
          <w:bCs/>
          <w:i/>
          <w:snapToGrid/>
          <w:color w:val="000000" w:themeColor="text1"/>
          <w:sz w:val="24"/>
          <w:szCs w:val="24"/>
          <w:lang w:val="en-US" w:eastAsia="zh-CN"/>
        </w:rPr>
        <w:t xml:space="preserve"> in R18</w:t>
      </w:r>
      <w:r w:rsidRPr="006E7A02">
        <w:rPr>
          <w:rFonts w:eastAsia="Times New Roman"/>
          <w:b/>
          <w:bCs/>
          <w:i/>
          <w:snapToGrid/>
          <w:color w:val="000000" w:themeColor="text1"/>
          <w:sz w:val="24"/>
          <w:szCs w:val="24"/>
          <w:lang w:val="en-US" w:eastAsia="zh-CN"/>
        </w:rPr>
        <w:t xml:space="preserve"> </w:t>
      </w:r>
    </w:p>
    <w:p w14:paraId="4F729576" w14:textId="124D6D20" w:rsidR="00E356F0" w:rsidRDefault="00E356F0" w:rsidP="00E356F0">
      <w:pPr>
        <w:pStyle w:val="Heading1"/>
        <w:numPr>
          <w:ilvl w:val="0"/>
          <w:numId w:val="10"/>
        </w:numPr>
        <w:pBdr>
          <w:top w:val="single" w:sz="12" w:space="2" w:color="auto"/>
        </w:pBdr>
        <w:jc w:val="both"/>
        <w:rPr>
          <w:sz w:val="32"/>
        </w:rPr>
      </w:pPr>
      <w:r>
        <w:rPr>
          <w:sz w:val="32"/>
        </w:rPr>
        <w:t>Discussion on RAN1 LS (</w:t>
      </w:r>
      <w:r w:rsidRPr="00E356F0">
        <w:rPr>
          <w:sz w:val="32"/>
        </w:rPr>
        <w:t>R1-2213001</w:t>
      </w:r>
      <w:r>
        <w:rPr>
          <w:sz w:val="32"/>
        </w:rPr>
        <w:t>)</w:t>
      </w:r>
    </w:p>
    <w:p w14:paraId="3F6010C2" w14:textId="3BC8F239" w:rsidR="00E356F0" w:rsidRDefault="00E356F0" w:rsidP="00E356F0">
      <w:pPr>
        <w:rPr>
          <w:lang w:val="en-GB"/>
        </w:rPr>
      </w:pPr>
      <w:r>
        <w:rPr>
          <w:lang w:val="en-GB"/>
        </w:rPr>
        <w:t>RAN1 had an LS(</w:t>
      </w:r>
      <w:r w:rsidRPr="00E356F0">
        <w:rPr>
          <w:lang w:val="en-GB"/>
        </w:rPr>
        <w:t>R1-2213001</w:t>
      </w:r>
      <w:r>
        <w:rPr>
          <w:lang w:val="en-GB"/>
        </w:rPr>
        <w:t>) in last meeting, and there was one question to RAN4, as duplicated below,</w:t>
      </w:r>
    </w:p>
    <w:tbl>
      <w:tblPr>
        <w:tblStyle w:val="TableGrid"/>
        <w:tblW w:w="0" w:type="auto"/>
        <w:tblLook w:val="04A0" w:firstRow="1" w:lastRow="0" w:firstColumn="1" w:lastColumn="0" w:noHBand="0" w:noVBand="1"/>
      </w:tblPr>
      <w:tblGrid>
        <w:gridCol w:w="9629"/>
      </w:tblGrid>
      <w:tr w:rsidR="00E356F0" w14:paraId="4049A134" w14:textId="77777777" w:rsidTr="00E356F0">
        <w:tc>
          <w:tcPr>
            <w:tcW w:w="9629" w:type="dxa"/>
          </w:tcPr>
          <w:p w14:paraId="5FF18A85" w14:textId="77777777" w:rsidR="0015515E" w:rsidRPr="0015515E" w:rsidRDefault="0015515E" w:rsidP="0015515E">
            <w:pPr>
              <w:spacing w:after="0"/>
              <w:rPr>
                <w:sz w:val="20"/>
                <w:szCs w:val="20"/>
              </w:rPr>
            </w:pPr>
            <w:r w:rsidRPr="0015515E">
              <w:rPr>
                <w:rFonts w:ascii="Times" w:eastAsia="DengXian" w:hAnsi="Times" w:cs="Times"/>
                <w:sz w:val="20"/>
                <w:szCs w:val="20"/>
                <w:lang w:bidi="ar"/>
              </w:rPr>
              <w:t xml:space="preserve">RAN1 would like to thank RAN2 for their LS in </w:t>
            </w:r>
            <w:r w:rsidRPr="0015515E">
              <w:rPr>
                <w:rFonts w:ascii="Times" w:eastAsia="Times" w:hAnsi="Times" w:cs="Times"/>
                <w:sz w:val="20"/>
                <w:szCs w:val="20"/>
                <w:lang w:bidi="ar"/>
              </w:rPr>
              <w:t>R1-2210807 (R2-2211017)</w:t>
            </w:r>
            <w:r w:rsidRPr="0015515E">
              <w:rPr>
                <w:rFonts w:ascii="Times" w:eastAsia="DengXian" w:hAnsi="Times" w:cs="Times"/>
                <w:sz w:val="20"/>
                <w:szCs w:val="20"/>
                <w:lang w:bidi="ar"/>
              </w:rPr>
              <w:t xml:space="preserve"> and provide response to the following question asked by RAN2.</w:t>
            </w:r>
          </w:p>
          <w:tbl>
            <w:tblPr>
              <w:tblStyle w:val="TableGrid"/>
              <w:tblW w:w="0" w:type="auto"/>
              <w:tblLook w:val="04A0" w:firstRow="1" w:lastRow="0" w:firstColumn="1" w:lastColumn="0" w:noHBand="0" w:noVBand="1"/>
            </w:tblPr>
            <w:tblGrid>
              <w:gridCol w:w="9403"/>
            </w:tblGrid>
            <w:tr w:rsidR="0015515E" w:rsidRPr="0015515E" w14:paraId="0AEACBBD" w14:textId="77777777" w:rsidTr="00200381">
              <w:tc>
                <w:tcPr>
                  <w:tcW w:w="10081" w:type="dxa"/>
                </w:tcPr>
                <w:p w14:paraId="505C03C8" w14:textId="77777777" w:rsidR="0015515E" w:rsidRPr="0015515E" w:rsidRDefault="0015515E" w:rsidP="0015515E">
                  <w:pPr>
                    <w:spacing w:after="0"/>
                    <w:rPr>
                      <w:rFonts w:ascii="Times" w:eastAsia="SimSun" w:hAnsi="Times" w:cs="Times"/>
                      <w:sz w:val="20"/>
                      <w:szCs w:val="20"/>
                    </w:rPr>
                  </w:pPr>
                  <w:r w:rsidRPr="0015515E">
                    <w:rPr>
                      <w:rFonts w:ascii="Times" w:eastAsia="SimSun" w:hAnsi="Times" w:cs="Times"/>
                      <w:sz w:val="20"/>
                      <w:szCs w:val="20"/>
                      <w:lang w:bidi="ar"/>
                    </w:rPr>
                    <w:t>For mobility enhancement in Rel-18 NR NTN, RAN2 has discussed RACH-less handover. RAN2 would like to check with RAN1 in which of the following listed scenarios RACH-less handover is possible.</w:t>
                  </w:r>
                </w:p>
                <w:p w14:paraId="7509F16F" w14:textId="77777777" w:rsidR="0015515E" w:rsidRPr="0015515E" w:rsidRDefault="0015515E" w:rsidP="0015515E">
                  <w:pPr>
                    <w:spacing w:after="0"/>
                    <w:rPr>
                      <w:rFonts w:ascii="Times" w:eastAsia="SimSun" w:hAnsi="Times" w:cs="Times"/>
                      <w:sz w:val="20"/>
                      <w:szCs w:val="20"/>
                    </w:rPr>
                  </w:pPr>
                </w:p>
                <w:p w14:paraId="1980311A" w14:textId="77777777" w:rsidR="0015515E" w:rsidRPr="0015515E" w:rsidRDefault="0015515E" w:rsidP="0015515E">
                  <w:pPr>
                    <w:numPr>
                      <w:ilvl w:val="0"/>
                      <w:numId w:val="43"/>
                    </w:numPr>
                    <w:spacing w:after="0"/>
                    <w:jc w:val="both"/>
                    <w:rPr>
                      <w:rFonts w:ascii="Times" w:eastAsia="SimSun" w:hAnsi="Times" w:cs="Times"/>
                      <w:sz w:val="20"/>
                      <w:szCs w:val="20"/>
                    </w:rPr>
                  </w:pPr>
                  <w:r w:rsidRPr="0015515E">
                    <w:rPr>
                      <w:rFonts w:ascii="Times" w:eastAsia="SimSun" w:hAnsi="Times" w:cs="Times"/>
                      <w:sz w:val="20"/>
                      <w:szCs w:val="20"/>
                      <w:lang w:bidi="ar"/>
                    </w:rPr>
                    <w:t>Intra-satellite handover with the same feeder link. i.e., with same gateway/</w:t>
                  </w:r>
                  <w:proofErr w:type="spellStart"/>
                  <w:r w:rsidRPr="0015515E">
                    <w:rPr>
                      <w:rFonts w:ascii="Times" w:eastAsia="SimSun" w:hAnsi="Times" w:cs="Times"/>
                      <w:sz w:val="20"/>
                      <w:szCs w:val="20"/>
                      <w:lang w:bidi="ar"/>
                    </w:rPr>
                    <w:t>gNB</w:t>
                  </w:r>
                  <w:proofErr w:type="spellEnd"/>
                </w:p>
                <w:p w14:paraId="65E87CFF" w14:textId="77777777" w:rsidR="0015515E" w:rsidRPr="0015515E" w:rsidRDefault="0015515E" w:rsidP="0015515E">
                  <w:pPr>
                    <w:numPr>
                      <w:ilvl w:val="0"/>
                      <w:numId w:val="43"/>
                    </w:numPr>
                    <w:spacing w:after="0"/>
                    <w:jc w:val="both"/>
                    <w:rPr>
                      <w:rFonts w:ascii="Times" w:eastAsia="SimSun" w:hAnsi="Times" w:cs="Times"/>
                      <w:sz w:val="20"/>
                      <w:szCs w:val="20"/>
                    </w:rPr>
                  </w:pPr>
                  <w:r w:rsidRPr="0015515E">
                    <w:rPr>
                      <w:rFonts w:ascii="Times" w:eastAsia="SimSun" w:hAnsi="Times" w:cs="Times"/>
                      <w:sz w:val="20"/>
                      <w:szCs w:val="20"/>
                      <w:lang w:bidi="ar"/>
                    </w:rPr>
                    <w:t>Intra-satellite handover with different feeder links, i.e., with gateway/</w:t>
                  </w:r>
                  <w:proofErr w:type="spellStart"/>
                  <w:r w:rsidRPr="0015515E">
                    <w:rPr>
                      <w:rFonts w:ascii="Times" w:eastAsia="SimSun" w:hAnsi="Times" w:cs="Times"/>
                      <w:sz w:val="20"/>
                      <w:szCs w:val="20"/>
                      <w:lang w:bidi="ar"/>
                    </w:rPr>
                    <w:t>gNB</w:t>
                  </w:r>
                  <w:proofErr w:type="spellEnd"/>
                  <w:r w:rsidRPr="0015515E">
                    <w:rPr>
                      <w:rFonts w:ascii="Times" w:eastAsia="SimSun" w:hAnsi="Times" w:cs="Times"/>
                      <w:sz w:val="20"/>
                      <w:szCs w:val="20"/>
                      <w:lang w:bidi="ar"/>
                    </w:rPr>
                    <w:t xml:space="preserve"> switch</w:t>
                  </w:r>
                </w:p>
                <w:p w14:paraId="23103893" w14:textId="77777777" w:rsidR="0015515E" w:rsidRPr="0015515E" w:rsidRDefault="0015515E" w:rsidP="0015515E">
                  <w:pPr>
                    <w:numPr>
                      <w:ilvl w:val="0"/>
                      <w:numId w:val="43"/>
                    </w:numPr>
                    <w:spacing w:after="0"/>
                    <w:jc w:val="both"/>
                    <w:rPr>
                      <w:rFonts w:ascii="Times" w:eastAsia="SimSun" w:hAnsi="Times" w:cs="Times"/>
                      <w:sz w:val="20"/>
                      <w:szCs w:val="20"/>
                    </w:rPr>
                  </w:pPr>
                  <w:r w:rsidRPr="0015515E">
                    <w:rPr>
                      <w:rFonts w:ascii="Times" w:eastAsia="SimSun" w:hAnsi="Times" w:cs="Times"/>
                      <w:sz w:val="20"/>
                      <w:szCs w:val="20"/>
                      <w:lang w:bidi="ar"/>
                    </w:rPr>
                    <w:t>Inter-satellite handover with gateway/</w:t>
                  </w:r>
                  <w:proofErr w:type="spellStart"/>
                  <w:r w:rsidRPr="0015515E">
                    <w:rPr>
                      <w:rFonts w:ascii="Times" w:eastAsia="SimSun" w:hAnsi="Times" w:cs="Times"/>
                      <w:sz w:val="20"/>
                      <w:szCs w:val="20"/>
                      <w:lang w:bidi="ar"/>
                    </w:rPr>
                    <w:t>gNB</w:t>
                  </w:r>
                  <w:proofErr w:type="spellEnd"/>
                  <w:r w:rsidRPr="0015515E">
                    <w:rPr>
                      <w:rFonts w:ascii="Times" w:eastAsia="SimSun" w:hAnsi="Times" w:cs="Times"/>
                      <w:sz w:val="20"/>
                      <w:szCs w:val="20"/>
                      <w:lang w:bidi="ar"/>
                    </w:rPr>
                    <w:t xml:space="preserve"> switch</w:t>
                  </w:r>
                </w:p>
                <w:p w14:paraId="4057357F" w14:textId="77777777" w:rsidR="0015515E" w:rsidRPr="0015515E" w:rsidRDefault="0015515E" w:rsidP="0015515E">
                  <w:pPr>
                    <w:numPr>
                      <w:ilvl w:val="0"/>
                      <w:numId w:val="43"/>
                    </w:numPr>
                    <w:spacing w:after="0"/>
                    <w:jc w:val="both"/>
                    <w:rPr>
                      <w:rFonts w:ascii="Times" w:eastAsia="SimSun" w:hAnsi="Times" w:cs="Times"/>
                      <w:sz w:val="20"/>
                      <w:szCs w:val="20"/>
                    </w:rPr>
                  </w:pPr>
                  <w:r w:rsidRPr="0015515E">
                    <w:rPr>
                      <w:rFonts w:ascii="Times" w:eastAsia="SimSun" w:hAnsi="Times" w:cs="Times"/>
                      <w:sz w:val="20"/>
                      <w:szCs w:val="20"/>
                      <w:lang w:bidi="ar"/>
                    </w:rPr>
                    <w:t>Inter-satellite handover with same gateway/</w:t>
                  </w:r>
                  <w:proofErr w:type="spellStart"/>
                  <w:r w:rsidRPr="0015515E">
                    <w:rPr>
                      <w:rFonts w:ascii="Times" w:eastAsia="SimSun" w:hAnsi="Times" w:cs="Times"/>
                      <w:sz w:val="20"/>
                      <w:szCs w:val="20"/>
                      <w:lang w:bidi="ar"/>
                    </w:rPr>
                    <w:t>gNB</w:t>
                  </w:r>
                  <w:proofErr w:type="spellEnd"/>
                </w:p>
                <w:p w14:paraId="6CAC17A9" w14:textId="77777777" w:rsidR="0015515E" w:rsidRPr="0015515E" w:rsidRDefault="0015515E" w:rsidP="0015515E">
                  <w:pPr>
                    <w:spacing w:after="0"/>
                    <w:rPr>
                      <w:rFonts w:ascii="Times" w:eastAsia="SimSun" w:hAnsi="Times" w:cs="Times"/>
                      <w:color w:val="000000"/>
                      <w:sz w:val="20"/>
                      <w:szCs w:val="20"/>
                      <w:lang w:eastAsia="ko"/>
                    </w:rPr>
                  </w:pPr>
                </w:p>
                <w:p w14:paraId="21149606" w14:textId="77777777" w:rsidR="0015515E" w:rsidRPr="0015515E" w:rsidRDefault="0015515E" w:rsidP="0015515E">
                  <w:pPr>
                    <w:spacing w:after="0"/>
                    <w:rPr>
                      <w:rFonts w:ascii="Times" w:eastAsia="SimSun" w:hAnsi="Times" w:cs="Times"/>
                      <w:color w:val="000000"/>
                      <w:sz w:val="20"/>
                      <w:szCs w:val="20"/>
                    </w:rPr>
                  </w:pPr>
                  <w:r w:rsidRPr="0015515E">
                    <w:rPr>
                      <w:rFonts w:ascii="Times" w:eastAsia="SimSun" w:hAnsi="Times" w:cs="Times"/>
                      <w:b/>
                      <w:sz w:val="20"/>
                      <w:szCs w:val="20"/>
                      <w:lang w:bidi="ar"/>
                    </w:rPr>
                    <w:t>ACTION:</w:t>
                  </w:r>
                  <w:r w:rsidRPr="0015515E">
                    <w:rPr>
                      <w:rFonts w:ascii="Times" w:eastAsia="SimSun" w:hAnsi="Times" w:cs="Times"/>
                      <w:b/>
                      <w:sz w:val="20"/>
                      <w:szCs w:val="20"/>
                      <w:lang w:bidi="ar"/>
                    </w:rPr>
                    <w:tab/>
                  </w:r>
                  <w:r w:rsidRPr="0015515E">
                    <w:rPr>
                      <w:rFonts w:ascii="Times" w:eastAsia="SimSun" w:hAnsi="Times" w:cs="Times"/>
                      <w:color w:val="000000"/>
                      <w:sz w:val="20"/>
                      <w:szCs w:val="20"/>
                      <w:lang w:bidi="ar"/>
                    </w:rPr>
                    <w:t>RAN2 respectfully asks RAN1 to provide response to the above question.</w:t>
                  </w:r>
                </w:p>
                <w:p w14:paraId="2DCC1FC0" w14:textId="77777777" w:rsidR="0015515E" w:rsidRPr="0015515E" w:rsidRDefault="0015515E" w:rsidP="0015515E">
                  <w:pPr>
                    <w:spacing w:after="0"/>
                    <w:rPr>
                      <w:sz w:val="20"/>
                      <w:szCs w:val="20"/>
                    </w:rPr>
                  </w:pPr>
                </w:p>
              </w:tc>
            </w:tr>
          </w:tbl>
          <w:p w14:paraId="6C96D3F8" w14:textId="77777777" w:rsidR="0015515E" w:rsidRPr="0015515E" w:rsidRDefault="0015515E" w:rsidP="0015515E">
            <w:pPr>
              <w:spacing w:after="0"/>
              <w:jc w:val="both"/>
              <w:rPr>
                <w:sz w:val="20"/>
                <w:szCs w:val="20"/>
              </w:rPr>
            </w:pPr>
          </w:p>
          <w:p w14:paraId="714EC7C7" w14:textId="77777777" w:rsidR="0015515E" w:rsidRPr="0015515E" w:rsidRDefault="0015515E" w:rsidP="0015515E">
            <w:pPr>
              <w:spacing w:after="0"/>
              <w:jc w:val="both"/>
              <w:rPr>
                <w:b/>
                <w:bCs/>
                <w:sz w:val="20"/>
                <w:szCs w:val="20"/>
              </w:rPr>
            </w:pPr>
            <w:r w:rsidRPr="0015515E">
              <w:rPr>
                <w:b/>
                <w:bCs/>
                <w:sz w:val="20"/>
                <w:szCs w:val="20"/>
              </w:rPr>
              <w:t>RAN1 response</w:t>
            </w:r>
          </w:p>
          <w:p w14:paraId="765312B4" w14:textId="77777777" w:rsidR="0015515E" w:rsidRPr="0015515E" w:rsidRDefault="0015515E" w:rsidP="0015515E">
            <w:pPr>
              <w:spacing w:after="0"/>
              <w:jc w:val="both"/>
              <w:rPr>
                <w:rFonts w:cs="Times"/>
                <w:sz w:val="20"/>
                <w:szCs w:val="20"/>
              </w:rPr>
            </w:pPr>
            <w:r w:rsidRPr="0015515E">
              <w:rPr>
                <w:rFonts w:eastAsia="DengXian" w:cs="Times"/>
                <w:sz w:val="20"/>
                <w:szCs w:val="20"/>
                <w:lang w:bidi="ar"/>
              </w:rPr>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14:paraId="6C017581" w14:textId="77777777" w:rsidR="0015515E" w:rsidRPr="0015515E" w:rsidRDefault="0015515E" w:rsidP="0015515E">
            <w:pPr>
              <w:spacing w:after="0"/>
              <w:jc w:val="both"/>
              <w:rPr>
                <w:rFonts w:cs="Times"/>
                <w:sz w:val="20"/>
                <w:szCs w:val="20"/>
              </w:rPr>
            </w:pPr>
            <w:r w:rsidRPr="0015515E">
              <w:rPr>
                <w:rFonts w:eastAsia="DengXian" w:cs="Times"/>
                <w:sz w:val="20"/>
                <w:szCs w:val="20"/>
                <w:lang w:bidi="ar"/>
              </w:rPr>
              <w:t xml:space="preserve">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 </w:t>
            </w:r>
          </w:p>
          <w:p w14:paraId="0F05C848" w14:textId="77777777" w:rsidR="0015515E" w:rsidRPr="0015515E" w:rsidRDefault="0015515E" w:rsidP="0015515E">
            <w:pPr>
              <w:spacing w:after="0"/>
              <w:jc w:val="both"/>
              <w:rPr>
                <w:color w:val="FF0000"/>
                <w:sz w:val="20"/>
                <w:szCs w:val="20"/>
              </w:rPr>
            </w:pPr>
            <w:r w:rsidRPr="0015515E">
              <w:rPr>
                <w:rFonts w:eastAsia="DengXian" w:cs="Times"/>
                <w:color w:val="FF0000"/>
                <w:sz w:val="20"/>
                <w:szCs w:val="20"/>
                <w:lang w:bidi="ar"/>
              </w:rPr>
              <w:t>Note 1: RAN1 assumes that the RAN4 UL synch</w:t>
            </w:r>
            <w:r w:rsidRPr="0015515E">
              <w:rPr>
                <w:rFonts w:eastAsia="SimSun" w:cs="Times"/>
                <w:color w:val="FF0000"/>
                <w:sz w:val="20"/>
                <w:szCs w:val="20"/>
                <w:lang w:bidi="ar"/>
              </w:rPr>
              <w:t>ro</w:t>
            </w:r>
            <w:r w:rsidRPr="0015515E">
              <w:rPr>
                <w:rFonts w:eastAsia="DengXian" w:cs="Times"/>
                <w:color w:val="FF0000"/>
                <w:sz w:val="20"/>
                <w:szCs w:val="20"/>
                <w:lang w:bidi="ar"/>
              </w:rPr>
              <w:t>nization requirement specified in Table 7.1C.2-1 of TS38.133 applies to the first UL transmission in the target cell.</w:t>
            </w:r>
          </w:p>
          <w:p w14:paraId="6BE133B7" w14:textId="77777777" w:rsidR="0015515E" w:rsidRPr="0015515E" w:rsidRDefault="0015515E" w:rsidP="0015515E">
            <w:pPr>
              <w:spacing w:after="0"/>
              <w:jc w:val="both"/>
              <w:rPr>
                <w:rFonts w:cs="Times"/>
                <w:sz w:val="20"/>
                <w:szCs w:val="20"/>
              </w:rPr>
            </w:pPr>
            <w:r w:rsidRPr="0015515E">
              <w:rPr>
                <w:rFonts w:eastAsia="DengXian" w:cs="Times"/>
                <w:sz w:val="20"/>
                <w:szCs w:val="20"/>
                <w:lang w:bidi="ar"/>
              </w:rPr>
              <w:t xml:space="preserve">Note 2: </w:t>
            </w:r>
            <w:proofErr w:type="spellStart"/>
            <w:r w:rsidRPr="0015515E">
              <w:rPr>
                <w:rFonts w:eastAsia="DengXian" w:cs="Times"/>
                <w:sz w:val="20"/>
                <w:szCs w:val="20"/>
                <w:lang w:bidi="ar"/>
              </w:rPr>
              <w:t>gNB</w:t>
            </w:r>
            <w:proofErr w:type="spellEnd"/>
            <w:r w:rsidRPr="0015515E">
              <w:rPr>
                <w:rFonts w:eastAsia="DengXian" w:cs="Times"/>
                <w:sz w:val="20"/>
                <w:szCs w:val="20"/>
                <w:lang w:bidi="ar"/>
              </w:rPr>
              <w:t xml:space="preserve"> is expected to provide valid assistance information of the target cell to UE.</w:t>
            </w:r>
          </w:p>
          <w:p w14:paraId="2843A4F3" w14:textId="1E9163C8" w:rsidR="00E356F0" w:rsidRDefault="0015515E" w:rsidP="0015515E">
            <w:pPr>
              <w:spacing w:after="0"/>
              <w:jc w:val="both"/>
              <w:rPr>
                <w:rFonts w:eastAsia="DengXian" w:cs="Times"/>
                <w:sz w:val="20"/>
                <w:szCs w:val="20"/>
                <w:lang w:bidi="ar"/>
              </w:rPr>
            </w:pPr>
            <w:r w:rsidRPr="0015515E">
              <w:rPr>
                <w:rFonts w:eastAsia="DengXian" w:cs="Times"/>
                <w:sz w:val="20"/>
                <w:szCs w:val="20"/>
                <w:lang w:bidi="ar"/>
              </w:rPr>
              <w:t xml:space="preserve">Note 3: </w:t>
            </w:r>
            <w:proofErr w:type="spellStart"/>
            <w:r w:rsidRPr="0015515E">
              <w:rPr>
                <w:rFonts w:eastAsia="DengXian" w:cs="Times"/>
                <w:sz w:val="20"/>
                <w:szCs w:val="20"/>
                <w:lang w:bidi="ar"/>
              </w:rPr>
              <w:t>gNB</w:t>
            </w:r>
            <w:proofErr w:type="spellEnd"/>
            <w:r w:rsidRPr="0015515E">
              <w:rPr>
                <w:rFonts w:eastAsia="DengXian" w:cs="Times"/>
                <w:sz w:val="20"/>
                <w:szCs w:val="20"/>
                <w:lang w:bidi="ar"/>
              </w:rPr>
              <w:t xml:space="preserve"> is expected to ensure the UE can perform the UL transmission while respecting common TA and UE processing time.</w:t>
            </w:r>
          </w:p>
          <w:p w14:paraId="4AADA574" w14:textId="77777777" w:rsidR="0015515E" w:rsidRDefault="0015515E" w:rsidP="0015515E">
            <w:pPr>
              <w:spacing w:after="0"/>
              <w:jc w:val="both"/>
              <w:rPr>
                <w:rFonts w:eastAsia="DengXian" w:cs="Times"/>
                <w:sz w:val="20"/>
                <w:szCs w:val="20"/>
                <w:lang w:bidi="ar"/>
              </w:rPr>
            </w:pPr>
          </w:p>
          <w:p w14:paraId="461BC981" w14:textId="77777777" w:rsidR="0015515E" w:rsidRPr="0015515E" w:rsidRDefault="0015515E" w:rsidP="0015515E">
            <w:pPr>
              <w:spacing w:after="0"/>
              <w:ind w:left="1985" w:hanging="1985"/>
              <w:rPr>
                <w:rFonts w:ascii="Times" w:eastAsia="Times" w:hAnsi="Times" w:cs="Times"/>
                <w:b/>
                <w:sz w:val="20"/>
                <w:szCs w:val="20"/>
              </w:rPr>
            </w:pPr>
            <w:r w:rsidRPr="0015515E">
              <w:rPr>
                <w:rFonts w:ascii="Times" w:eastAsia="Times" w:hAnsi="Times" w:cs="Times"/>
                <w:b/>
                <w:sz w:val="20"/>
                <w:szCs w:val="20"/>
                <w:lang w:bidi="ar"/>
              </w:rPr>
              <w:t>To RAN2:</w:t>
            </w:r>
          </w:p>
          <w:p w14:paraId="330E41CA" w14:textId="77777777" w:rsidR="0015515E" w:rsidRPr="0015515E" w:rsidRDefault="0015515E" w:rsidP="0015515E">
            <w:pPr>
              <w:spacing w:after="0"/>
              <w:rPr>
                <w:rFonts w:ascii="Times" w:eastAsia="Times" w:hAnsi="Times" w:cs="Times"/>
                <w:sz w:val="20"/>
                <w:szCs w:val="20"/>
              </w:rPr>
            </w:pPr>
            <w:r w:rsidRPr="0015515E">
              <w:rPr>
                <w:rFonts w:ascii="Times" w:eastAsia="Times" w:hAnsi="Times" w:cs="Times"/>
                <w:sz w:val="20"/>
                <w:szCs w:val="20"/>
                <w:lang w:bidi="ar"/>
              </w:rPr>
              <w:t xml:space="preserve">RAN1 </w:t>
            </w:r>
            <w:r w:rsidRPr="0015515E">
              <w:rPr>
                <w:rFonts w:eastAsia="DengXian"/>
                <w:sz w:val="20"/>
                <w:szCs w:val="20"/>
                <w:lang w:bidi="ar"/>
              </w:rPr>
              <w:t>respectfully</w:t>
            </w:r>
            <w:r w:rsidRPr="0015515E">
              <w:rPr>
                <w:rFonts w:ascii="Times" w:eastAsia="Times" w:hAnsi="Times" w:cs="Times"/>
                <w:sz w:val="20"/>
                <w:szCs w:val="20"/>
                <w:lang w:bidi="ar"/>
              </w:rPr>
              <w:t xml:space="preserve"> asks RAN2 to take the above response into account in the future work.</w:t>
            </w:r>
          </w:p>
          <w:p w14:paraId="44FEB9C0" w14:textId="77777777" w:rsidR="0015515E" w:rsidRPr="0015515E" w:rsidRDefault="0015515E" w:rsidP="0015515E">
            <w:pPr>
              <w:spacing w:after="0"/>
              <w:rPr>
                <w:rFonts w:ascii="Times" w:eastAsia="Times" w:hAnsi="Times" w:cs="Times"/>
                <w:b/>
                <w:bCs/>
                <w:color w:val="FF0000"/>
                <w:sz w:val="20"/>
                <w:szCs w:val="20"/>
              </w:rPr>
            </w:pPr>
            <w:r w:rsidRPr="0015515E">
              <w:rPr>
                <w:rFonts w:ascii="Times" w:eastAsia="Times" w:hAnsi="Times" w:cs="Times"/>
                <w:b/>
                <w:bCs/>
                <w:color w:val="FF0000"/>
                <w:sz w:val="20"/>
                <w:szCs w:val="20"/>
                <w:lang w:bidi="ar"/>
              </w:rPr>
              <w:t xml:space="preserve">To RAN4: </w:t>
            </w:r>
          </w:p>
          <w:p w14:paraId="7B28CCA5" w14:textId="77777777" w:rsidR="0015515E" w:rsidRPr="0015515E" w:rsidRDefault="0015515E" w:rsidP="0015515E">
            <w:pPr>
              <w:spacing w:after="0"/>
              <w:rPr>
                <w:rFonts w:eastAsia="Malgun Gothic"/>
                <w:color w:val="FF0000"/>
                <w:sz w:val="20"/>
                <w:szCs w:val="20"/>
              </w:rPr>
            </w:pPr>
            <w:r w:rsidRPr="0015515E">
              <w:rPr>
                <w:rFonts w:eastAsia="DengXian"/>
                <w:color w:val="FF0000"/>
                <w:sz w:val="20"/>
                <w:szCs w:val="20"/>
                <w:lang w:bidi="ar"/>
              </w:rPr>
              <w:t>RAN1 respectfully asks RAN4 whether RAN1’s assumption in Note 1 is correct.</w:t>
            </w:r>
          </w:p>
          <w:p w14:paraId="6E5B5144" w14:textId="3A4C9D84" w:rsidR="0015515E" w:rsidRPr="0015515E" w:rsidRDefault="0015515E" w:rsidP="0015515E">
            <w:pPr>
              <w:spacing w:after="0"/>
              <w:jc w:val="both"/>
              <w:rPr>
                <w:rFonts w:cs="Times"/>
              </w:rPr>
            </w:pPr>
          </w:p>
        </w:tc>
      </w:tr>
    </w:tbl>
    <w:p w14:paraId="27015930" w14:textId="77777777" w:rsidR="00E356F0" w:rsidRDefault="00E356F0" w:rsidP="00E356F0">
      <w:pPr>
        <w:rPr>
          <w:lang w:val="en-GB"/>
        </w:rPr>
      </w:pPr>
    </w:p>
    <w:p w14:paraId="7759F61D" w14:textId="299DB687" w:rsidR="00E356F0" w:rsidRPr="00E356F0" w:rsidRDefault="0015515E" w:rsidP="00E356F0">
      <w:pPr>
        <w:rPr>
          <w:lang w:val="en-GB"/>
        </w:rPr>
      </w:pPr>
      <w:r>
        <w:rPr>
          <w:lang w:val="en-GB"/>
        </w:rPr>
        <w:lastRenderedPageBreak/>
        <w:t>In R17 NTN timing requirement, it was defined that,</w:t>
      </w:r>
    </w:p>
    <w:tbl>
      <w:tblPr>
        <w:tblStyle w:val="TableGrid"/>
        <w:tblW w:w="0" w:type="auto"/>
        <w:tblLook w:val="04A0" w:firstRow="1" w:lastRow="0" w:firstColumn="1" w:lastColumn="0" w:noHBand="0" w:noVBand="1"/>
      </w:tblPr>
      <w:tblGrid>
        <w:gridCol w:w="8936"/>
      </w:tblGrid>
      <w:tr w:rsidR="00931D05" w14:paraId="1059F7E0" w14:textId="77777777" w:rsidTr="00931D05">
        <w:trPr>
          <w:trHeight w:val="4782"/>
        </w:trPr>
        <w:tc>
          <w:tcPr>
            <w:tcW w:w="8851" w:type="dxa"/>
          </w:tcPr>
          <w:p w14:paraId="7336975E" w14:textId="7B51BECF" w:rsidR="00931D05" w:rsidRDefault="00931D05" w:rsidP="00E356F0">
            <w:pPr>
              <w:spacing w:after="187"/>
              <w:jc w:val="both"/>
              <w:rPr>
                <w:b/>
                <w:bCs/>
                <w:i/>
                <w:color w:val="000000" w:themeColor="text1"/>
              </w:rPr>
            </w:pPr>
            <w:r>
              <w:rPr>
                <w:b/>
                <w:bCs/>
                <w:i/>
                <w:noProof/>
                <w:color w:val="000000" w:themeColor="text1"/>
              </w:rPr>
              <w:drawing>
                <wp:inline distT="0" distB="0" distL="0" distR="0" wp14:anchorId="0A1205F8" wp14:editId="46FE2799">
                  <wp:extent cx="5533121" cy="3101510"/>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49716" cy="3110812"/>
                          </a:xfrm>
                          <a:prstGeom prst="rect">
                            <a:avLst/>
                          </a:prstGeom>
                        </pic:spPr>
                      </pic:pic>
                    </a:graphicData>
                  </a:graphic>
                </wp:inline>
              </w:drawing>
            </w:r>
          </w:p>
        </w:tc>
      </w:tr>
    </w:tbl>
    <w:p w14:paraId="5F7F51A9" w14:textId="1FE1E14E" w:rsidR="00931D05" w:rsidRDefault="00931D05" w:rsidP="00E356F0">
      <w:pPr>
        <w:spacing w:after="187"/>
        <w:jc w:val="both"/>
        <w:rPr>
          <w:b/>
          <w:bCs/>
          <w:i/>
          <w:color w:val="000000" w:themeColor="text1"/>
        </w:rPr>
      </w:pPr>
    </w:p>
    <w:p w14:paraId="378D1F77" w14:textId="60627C8D" w:rsidR="00931D05" w:rsidRDefault="00931D05" w:rsidP="00931D05">
      <w:pPr>
        <w:rPr>
          <w:lang w:val="en-GB"/>
        </w:rPr>
      </w:pPr>
      <w:r w:rsidRPr="00931D05">
        <w:rPr>
          <w:lang w:val="en-GB"/>
        </w:rPr>
        <w:t>We agree with RAN1’s assumption that RAN4 timing requirement specified in Table 7.1C.2-1 of TS38.133 applies to the first UL transmission in the target cell.</w:t>
      </w:r>
    </w:p>
    <w:p w14:paraId="3D512808" w14:textId="6D798994" w:rsidR="00931D05" w:rsidRPr="00931D05" w:rsidRDefault="00931D05" w:rsidP="00931D05">
      <w:pPr>
        <w:rPr>
          <w:b/>
          <w:bCs/>
          <w:i/>
          <w:iCs/>
          <w:lang w:val="en-GB"/>
        </w:rPr>
      </w:pPr>
    </w:p>
    <w:p w14:paraId="6A9FE853" w14:textId="2B17A4E0" w:rsidR="00931D05" w:rsidRDefault="00931D05" w:rsidP="00931D05">
      <w:pPr>
        <w:rPr>
          <w:b/>
          <w:bCs/>
          <w:i/>
          <w:iCs/>
          <w:lang w:val="en-GB"/>
        </w:rPr>
      </w:pPr>
      <w:r w:rsidRPr="00931D05">
        <w:rPr>
          <w:b/>
          <w:bCs/>
          <w:i/>
          <w:iCs/>
          <w:lang w:val="en-GB"/>
        </w:rPr>
        <w:t>Proposal 3: RAN4 to confirm that the timing requirement specified in Table 7.1C.2-1 of TS38.133 applies to the first UL transmission in the target cell in RAN1 LS</w:t>
      </w:r>
      <w:r w:rsidRPr="00931D05">
        <w:rPr>
          <w:b/>
          <w:bCs/>
          <w:i/>
          <w:iCs/>
        </w:rPr>
        <w:t xml:space="preserve"> </w:t>
      </w:r>
      <w:r w:rsidRPr="00931D05">
        <w:rPr>
          <w:b/>
          <w:bCs/>
          <w:i/>
          <w:iCs/>
          <w:lang w:val="en-GB"/>
        </w:rPr>
        <w:t>R1-2213001.</w:t>
      </w:r>
    </w:p>
    <w:p w14:paraId="451CF1BA" w14:textId="027249EF" w:rsidR="00931D05" w:rsidRDefault="00931D05" w:rsidP="00931D05">
      <w:pPr>
        <w:rPr>
          <w:b/>
          <w:bCs/>
          <w:i/>
          <w:iCs/>
          <w:lang w:val="en-GB"/>
        </w:rPr>
      </w:pPr>
    </w:p>
    <w:p w14:paraId="2932174C" w14:textId="01B49904" w:rsidR="00931D05" w:rsidRDefault="00931D05" w:rsidP="00931D05">
      <w:pPr>
        <w:rPr>
          <w:lang w:val="en-GB"/>
        </w:rPr>
      </w:pPr>
      <w:r w:rsidRPr="00931D05">
        <w:rPr>
          <w:lang w:val="en-GB"/>
        </w:rPr>
        <w:t>Draft reply LS is as followings:</w:t>
      </w:r>
    </w:p>
    <w:tbl>
      <w:tblPr>
        <w:tblStyle w:val="TableGrid"/>
        <w:tblW w:w="0" w:type="auto"/>
        <w:tblLook w:val="04A0" w:firstRow="1" w:lastRow="0" w:firstColumn="1" w:lastColumn="0" w:noHBand="0" w:noVBand="1"/>
      </w:tblPr>
      <w:tblGrid>
        <w:gridCol w:w="9629"/>
      </w:tblGrid>
      <w:tr w:rsidR="00931D05" w14:paraId="7323752C" w14:textId="77777777" w:rsidTr="00931D05">
        <w:tc>
          <w:tcPr>
            <w:tcW w:w="9629" w:type="dxa"/>
          </w:tcPr>
          <w:p w14:paraId="096DEE7F" w14:textId="77777777" w:rsidR="00AE2010" w:rsidRPr="00AE2010" w:rsidRDefault="00AE2010" w:rsidP="00AE2010">
            <w:pPr>
              <w:rPr>
                <w:b/>
                <w:bCs/>
                <w:u w:val="single"/>
              </w:rPr>
            </w:pPr>
            <w:r w:rsidRPr="00AE2010">
              <w:rPr>
                <w:b/>
                <w:bCs/>
                <w:u w:val="single"/>
              </w:rPr>
              <w:t>Overall description</w:t>
            </w:r>
          </w:p>
          <w:p w14:paraId="59634159" w14:textId="05D41A97" w:rsidR="00AE2010" w:rsidRPr="00AE2010" w:rsidRDefault="00AE2010" w:rsidP="00AE2010">
            <w:pPr>
              <w:jc w:val="both"/>
              <w:rPr>
                <w:color w:val="000000"/>
                <w:lang w:eastAsia="ko-KR"/>
              </w:rPr>
            </w:pPr>
            <w:r w:rsidRPr="00AE2010">
              <w:rPr>
                <w:color w:val="000000"/>
                <w:lang w:eastAsia="ko-KR"/>
              </w:rPr>
              <w:t>RAN4 thanks RAN</w:t>
            </w:r>
            <w:r>
              <w:rPr>
                <w:color w:val="000000"/>
                <w:lang w:eastAsia="ko-KR"/>
              </w:rPr>
              <w:t>1</w:t>
            </w:r>
            <w:r w:rsidRPr="00AE2010">
              <w:rPr>
                <w:color w:val="000000"/>
                <w:lang w:eastAsia="ko-KR"/>
              </w:rPr>
              <w:t xml:space="preserve"> for the LS sent in </w:t>
            </w:r>
            <w:r w:rsidRPr="00E356F0">
              <w:rPr>
                <w:lang w:val="en-GB"/>
              </w:rPr>
              <w:t>R1-2213001</w:t>
            </w:r>
            <w:r w:rsidRPr="00AE2010">
              <w:rPr>
                <w:color w:val="000000"/>
                <w:lang w:eastAsia="ko-KR"/>
              </w:rPr>
              <w:t xml:space="preserve"> about the RACH-less handover in NTN. RAN4 would like to </w:t>
            </w:r>
            <w:r>
              <w:rPr>
                <w:color w:val="000000"/>
                <w:lang w:eastAsia="ko-KR"/>
              </w:rPr>
              <w:t>confirm the RAN1 assumption of note 1 in their LS</w:t>
            </w:r>
            <w:r w:rsidRPr="00AE2010">
              <w:rPr>
                <w:color w:val="000000"/>
                <w:lang w:eastAsia="ko-KR"/>
              </w:rPr>
              <w:t>:</w:t>
            </w:r>
          </w:p>
          <w:p w14:paraId="59537E5C" w14:textId="26B29353" w:rsidR="00931D05" w:rsidRPr="00AE2010" w:rsidRDefault="00AE2010" w:rsidP="00931D05">
            <w:pPr>
              <w:pStyle w:val="ListParagraph"/>
              <w:widowControl/>
              <w:numPr>
                <w:ilvl w:val="0"/>
                <w:numId w:val="44"/>
              </w:numPr>
              <w:spacing w:before="120" w:line="240" w:lineRule="auto"/>
              <w:ind w:firstLineChars="0"/>
              <w:jc w:val="both"/>
              <w:rPr>
                <w:color w:val="000000"/>
                <w:sz w:val="24"/>
                <w:szCs w:val="24"/>
                <w:lang w:val="en-GB" w:eastAsia="ko-KR"/>
              </w:rPr>
            </w:pPr>
            <w:r w:rsidRPr="00AE2010">
              <w:rPr>
                <w:color w:val="000000"/>
                <w:sz w:val="24"/>
                <w:szCs w:val="24"/>
                <w:lang w:val="en-GB" w:eastAsia="ko-KR"/>
              </w:rPr>
              <w:t xml:space="preserve">RAN4 </w:t>
            </w:r>
            <w:r w:rsidRPr="00AE2010">
              <w:rPr>
                <w:rFonts w:eastAsia="Times New Roman"/>
                <w:snapToGrid/>
                <w:color w:val="000000"/>
                <w:sz w:val="24"/>
                <w:szCs w:val="24"/>
                <w:lang w:val="en-US" w:eastAsia="ko-KR"/>
              </w:rPr>
              <w:t>confirm that the timing requirement specified in Table 7.1C.2-1 of TS38.133 applies to the first UL transmission in the target cell</w:t>
            </w:r>
            <w:r>
              <w:rPr>
                <w:rFonts w:eastAsia="Times New Roman"/>
                <w:snapToGrid/>
                <w:color w:val="000000"/>
                <w:sz w:val="24"/>
                <w:szCs w:val="24"/>
                <w:lang w:val="en-US" w:eastAsia="ko-KR"/>
              </w:rPr>
              <w:t>, mentioned</w:t>
            </w:r>
            <w:r w:rsidRPr="00AE2010">
              <w:rPr>
                <w:rFonts w:eastAsia="Times New Roman"/>
                <w:snapToGrid/>
                <w:color w:val="000000"/>
                <w:sz w:val="24"/>
                <w:szCs w:val="24"/>
                <w:lang w:val="en-US" w:eastAsia="ko-KR"/>
              </w:rPr>
              <w:t xml:space="preserve"> in note 1 of RAN1 LS R1-2213001.</w:t>
            </w:r>
          </w:p>
        </w:tc>
      </w:tr>
    </w:tbl>
    <w:p w14:paraId="085ED47C" w14:textId="77777777" w:rsidR="00931D05" w:rsidRPr="00931D05" w:rsidRDefault="00931D05" w:rsidP="00931D05">
      <w:pPr>
        <w:rPr>
          <w:lang w:val="en-GB"/>
        </w:rPr>
      </w:pPr>
    </w:p>
    <w:p w14:paraId="71A69CFF" w14:textId="2BCA951F" w:rsidR="00931D05" w:rsidRPr="00AE2010" w:rsidRDefault="00931D05" w:rsidP="00AE2010">
      <w:pPr>
        <w:rPr>
          <w:b/>
          <w:bCs/>
          <w:i/>
          <w:iCs/>
          <w:lang w:val="en-GB"/>
        </w:rPr>
      </w:pPr>
      <w:r>
        <w:rPr>
          <w:b/>
          <w:bCs/>
          <w:i/>
          <w:iCs/>
          <w:lang w:val="en-GB"/>
        </w:rPr>
        <w:t xml:space="preserve"> </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7A1AF18" w14:textId="77777777" w:rsidR="008A1E57" w:rsidRDefault="008A1E57" w:rsidP="00E06DD6">
      <w:pPr>
        <w:spacing w:after="180"/>
        <w:jc w:val="both"/>
      </w:pPr>
      <w:r>
        <w:t xml:space="preserve">In this contribution we discuss the impact on RRM for the </w:t>
      </w:r>
      <w:proofErr w:type="spellStart"/>
      <w:r>
        <w:t>eNTN</w:t>
      </w:r>
      <w:proofErr w:type="spellEnd"/>
      <w:r>
        <w:t xml:space="preserve"> UE.</w:t>
      </w:r>
    </w:p>
    <w:p w14:paraId="6723E726" w14:textId="56BA7CAE" w:rsidR="008A1E57" w:rsidRDefault="008A1E57" w:rsidP="008A1E57">
      <w:pPr>
        <w:spacing w:after="180"/>
        <w:jc w:val="both"/>
        <w:rPr>
          <w:b/>
          <w:bCs/>
          <w:i/>
          <w:color w:val="000000" w:themeColor="text1"/>
        </w:rPr>
      </w:pPr>
      <w:r w:rsidRPr="002D1506">
        <w:rPr>
          <w:b/>
          <w:bCs/>
          <w:i/>
          <w:color w:val="000000" w:themeColor="text1"/>
        </w:rPr>
        <w:t xml:space="preserve">Proposal 1: </w:t>
      </w:r>
      <w:r w:rsidRPr="00194DA2">
        <w:rPr>
          <w:b/>
          <w:bCs/>
          <w:i/>
          <w:color w:val="000000" w:themeColor="text1"/>
        </w:rPr>
        <w:t xml:space="preserve">RAN4 to specify the </w:t>
      </w:r>
      <w:r>
        <w:rPr>
          <w:b/>
          <w:bCs/>
          <w:i/>
          <w:color w:val="000000" w:themeColor="text1"/>
        </w:rPr>
        <w:t xml:space="preserve">RRM </w:t>
      </w:r>
      <w:r w:rsidRPr="00194DA2">
        <w:rPr>
          <w:b/>
          <w:bCs/>
          <w:i/>
          <w:color w:val="000000" w:themeColor="text1"/>
        </w:rPr>
        <w:t>requirement for NR-NTN deployment above 10 GHz bands</w:t>
      </w:r>
      <w:r w:rsidRPr="00194DA2">
        <w:t xml:space="preserve"> </w:t>
      </w:r>
      <w:r w:rsidRPr="00194DA2">
        <w:rPr>
          <w:b/>
          <w:bCs/>
          <w:i/>
          <w:color w:val="000000" w:themeColor="text1"/>
        </w:rPr>
        <w:t xml:space="preserve">after concrete conclusion is made </w:t>
      </w:r>
      <w:r>
        <w:rPr>
          <w:b/>
          <w:bCs/>
          <w:i/>
          <w:color w:val="000000" w:themeColor="text1"/>
        </w:rPr>
        <w:t>in</w:t>
      </w:r>
      <w:r w:rsidRPr="00194DA2">
        <w:rPr>
          <w:b/>
          <w:bCs/>
          <w:i/>
          <w:color w:val="000000" w:themeColor="text1"/>
        </w:rPr>
        <w:t xml:space="preserve"> RF session</w:t>
      </w:r>
      <w:r>
        <w:rPr>
          <w:b/>
          <w:bCs/>
          <w:i/>
          <w:color w:val="000000" w:themeColor="text1"/>
        </w:rPr>
        <w:t xml:space="preserve">, e.g., </w:t>
      </w:r>
      <w:r w:rsidRPr="00194DA2">
        <w:rPr>
          <w:b/>
          <w:bCs/>
          <w:i/>
          <w:color w:val="000000" w:themeColor="text1"/>
        </w:rPr>
        <w:t>Rx beam</w:t>
      </w:r>
      <w:r>
        <w:rPr>
          <w:b/>
          <w:bCs/>
          <w:i/>
          <w:color w:val="000000" w:themeColor="text1"/>
        </w:rPr>
        <w:t>-forming related RRM requirement</w:t>
      </w:r>
      <w:r w:rsidRPr="002D1506">
        <w:rPr>
          <w:b/>
          <w:bCs/>
          <w:i/>
          <w:color w:val="000000" w:themeColor="text1"/>
        </w:rPr>
        <w:t>.</w:t>
      </w:r>
    </w:p>
    <w:p w14:paraId="0A5DCDA1" w14:textId="77777777" w:rsidR="008A1E57" w:rsidRPr="006E7A02" w:rsidRDefault="008A1E57" w:rsidP="008A1E57">
      <w:pPr>
        <w:spacing w:after="187"/>
        <w:jc w:val="both"/>
        <w:rPr>
          <w:b/>
          <w:bCs/>
          <w:i/>
          <w:color w:val="000000" w:themeColor="text1"/>
        </w:rPr>
      </w:pPr>
      <w:r w:rsidRPr="006E7A02">
        <w:rPr>
          <w:b/>
          <w:bCs/>
          <w:i/>
          <w:color w:val="000000" w:themeColor="text1"/>
        </w:rPr>
        <w:t xml:space="preserve">Proposal 2: </w:t>
      </w:r>
    </w:p>
    <w:p w14:paraId="4BA65521" w14:textId="77777777" w:rsidR="008A1E57" w:rsidRPr="006E7A02" w:rsidRDefault="008A1E57" w:rsidP="008A1E57">
      <w:pPr>
        <w:spacing w:after="187"/>
        <w:jc w:val="both"/>
        <w:rPr>
          <w:b/>
          <w:bCs/>
          <w:i/>
          <w:color w:val="000000" w:themeColor="text1"/>
        </w:rPr>
      </w:pPr>
      <w:r w:rsidRPr="006E7A02">
        <w:rPr>
          <w:b/>
          <w:bCs/>
          <w:i/>
          <w:color w:val="000000" w:themeColor="text1"/>
        </w:rPr>
        <w:t xml:space="preserve">For </w:t>
      </w:r>
      <w:r w:rsidRPr="006E7A02">
        <w:rPr>
          <w:b/>
          <w:bCs/>
          <w:i/>
        </w:rPr>
        <w:t>NTN-TN and NTN-NTN mobility and service continuity enhancements,</w:t>
      </w:r>
      <w:r w:rsidRPr="006E7A02">
        <w:rPr>
          <w:b/>
          <w:bCs/>
          <w:i/>
          <w:color w:val="000000" w:themeColor="text1"/>
        </w:rPr>
        <w:t xml:space="preserve"> RAN4 RRM work can start after RAN2 has more conclusions. </w:t>
      </w:r>
    </w:p>
    <w:p w14:paraId="471CC34E" w14:textId="77777777" w:rsidR="008A1E57" w:rsidRPr="006E7A02" w:rsidRDefault="008A1E57" w:rsidP="008A1E57">
      <w:pPr>
        <w:spacing w:after="187"/>
        <w:jc w:val="both"/>
        <w:rPr>
          <w:b/>
          <w:bCs/>
          <w:i/>
          <w:color w:val="000000" w:themeColor="text1"/>
        </w:rPr>
      </w:pPr>
      <w:r w:rsidRPr="006E7A02">
        <w:rPr>
          <w:b/>
          <w:bCs/>
          <w:i/>
          <w:color w:val="000000" w:themeColor="text1"/>
        </w:rPr>
        <w:t>In addition, RAN4 to agree:</w:t>
      </w:r>
    </w:p>
    <w:p w14:paraId="357D6BE4" w14:textId="77777777" w:rsidR="008A1E57" w:rsidRPr="006E7A02" w:rsidRDefault="008A1E57" w:rsidP="008A1E57">
      <w:pPr>
        <w:pStyle w:val="ListParagraph"/>
        <w:numPr>
          <w:ilvl w:val="0"/>
          <w:numId w:val="41"/>
        </w:numPr>
        <w:spacing w:after="187" w:line="240" w:lineRule="auto"/>
        <w:ind w:firstLineChars="0"/>
        <w:jc w:val="both"/>
        <w:rPr>
          <w:rFonts w:eastAsia="Times New Roman"/>
          <w:b/>
          <w:bCs/>
          <w:i/>
          <w:snapToGrid/>
          <w:color w:val="000000" w:themeColor="text1"/>
          <w:sz w:val="24"/>
          <w:szCs w:val="24"/>
          <w:lang w:val="en-US" w:eastAsia="zh-CN"/>
        </w:rPr>
      </w:pPr>
      <w:r w:rsidRPr="006E7A02">
        <w:rPr>
          <w:rFonts w:eastAsia="Times New Roman"/>
          <w:b/>
          <w:bCs/>
          <w:i/>
          <w:snapToGrid/>
          <w:color w:val="000000" w:themeColor="text1"/>
          <w:sz w:val="24"/>
          <w:szCs w:val="24"/>
          <w:lang w:val="en-US" w:eastAsia="zh-CN"/>
        </w:rPr>
        <w:lastRenderedPageBreak/>
        <w:t xml:space="preserve">the RRM requirement for timing based and location-based cell reselection for quasi-earth fixed cell in Rel-17 can be considered as the starting point for NTN-NTN cell reselection requirement with earth moving cell </w:t>
      </w:r>
    </w:p>
    <w:p w14:paraId="27A0DA87" w14:textId="77777777" w:rsidR="008A1E57" w:rsidRDefault="008A1E57" w:rsidP="008A1E57">
      <w:pPr>
        <w:pStyle w:val="ListParagraph"/>
        <w:numPr>
          <w:ilvl w:val="0"/>
          <w:numId w:val="41"/>
        </w:numPr>
        <w:spacing w:after="187" w:line="240" w:lineRule="auto"/>
        <w:ind w:firstLineChars="0"/>
        <w:jc w:val="both"/>
        <w:rPr>
          <w:rFonts w:eastAsia="Times New Roman"/>
          <w:b/>
          <w:bCs/>
          <w:i/>
          <w:snapToGrid/>
          <w:color w:val="000000" w:themeColor="text1"/>
          <w:sz w:val="24"/>
          <w:szCs w:val="24"/>
          <w:lang w:val="en-US" w:eastAsia="zh-CN"/>
        </w:rPr>
      </w:pPr>
      <w:r w:rsidRPr="006E7A02">
        <w:rPr>
          <w:rFonts w:eastAsia="Times New Roman"/>
          <w:b/>
          <w:bCs/>
          <w:i/>
          <w:snapToGrid/>
          <w:color w:val="000000" w:themeColor="text1"/>
          <w:sz w:val="24"/>
          <w:szCs w:val="24"/>
          <w:lang w:val="en-US" w:eastAsia="zh-CN"/>
        </w:rPr>
        <w:t>RAN4 needs to specify RRM requirement for NTN-TN mobility</w:t>
      </w:r>
      <w:r>
        <w:rPr>
          <w:rFonts w:eastAsia="Times New Roman"/>
          <w:b/>
          <w:bCs/>
          <w:i/>
          <w:snapToGrid/>
          <w:color w:val="000000" w:themeColor="text1"/>
          <w:sz w:val="24"/>
          <w:szCs w:val="24"/>
          <w:lang w:val="en-US" w:eastAsia="zh-CN"/>
        </w:rPr>
        <w:t xml:space="preserve"> in R18</w:t>
      </w:r>
      <w:r w:rsidRPr="006E7A02">
        <w:rPr>
          <w:rFonts w:eastAsia="Times New Roman"/>
          <w:b/>
          <w:bCs/>
          <w:i/>
          <w:snapToGrid/>
          <w:color w:val="000000" w:themeColor="text1"/>
          <w:sz w:val="24"/>
          <w:szCs w:val="24"/>
          <w:lang w:val="en-US" w:eastAsia="zh-CN"/>
        </w:rPr>
        <w:t xml:space="preserve"> </w:t>
      </w:r>
    </w:p>
    <w:p w14:paraId="597FB7A2" w14:textId="77777777" w:rsidR="008A1E57" w:rsidRDefault="008A1E57" w:rsidP="008A1E57">
      <w:pPr>
        <w:rPr>
          <w:b/>
          <w:bCs/>
          <w:i/>
          <w:iCs/>
          <w:lang w:val="en-GB"/>
        </w:rPr>
      </w:pPr>
      <w:r w:rsidRPr="00931D05">
        <w:rPr>
          <w:b/>
          <w:bCs/>
          <w:i/>
          <w:iCs/>
          <w:lang w:val="en-GB"/>
        </w:rPr>
        <w:t>Proposal 3: RAN4 to confirm that the timing requirement specified in Table 7.1C.2-1 of TS38.133 applies to the first UL transmission in the target cell in RAN1 LS</w:t>
      </w:r>
      <w:r w:rsidRPr="00931D05">
        <w:rPr>
          <w:b/>
          <w:bCs/>
          <w:i/>
          <w:iCs/>
        </w:rPr>
        <w:t xml:space="preserve"> </w:t>
      </w:r>
      <w:r w:rsidRPr="00931D05">
        <w:rPr>
          <w:b/>
          <w:bCs/>
          <w:i/>
          <w:iCs/>
          <w:lang w:val="en-GB"/>
        </w:rPr>
        <w:t>R1-2213001.</w:t>
      </w:r>
    </w:p>
    <w:p w14:paraId="13B4952D" w14:textId="77777777" w:rsidR="008A1E57" w:rsidRDefault="008A1E57" w:rsidP="008A1E57">
      <w:pPr>
        <w:rPr>
          <w:b/>
          <w:bCs/>
          <w:i/>
          <w:iCs/>
          <w:lang w:val="en-GB"/>
        </w:rPr>
      </w:pPr>
    </w:p>
    <w:p w14:paraId="11CB923A" w14:textId="77777777" w:rsidR="008A1E57" w:rsidRDefault="008A1E57" w:rsidP="008A1E57">
      <w:pPr>
        <w:rPr>
          <w:lang w:val="en-GB"/>
        </w:rPr>
      </w:pPr>
      <w:r w:rsidRPr="00931D05">
        <w:rPr>
          <w:lang w:val="en-GB"/>
        </w:rPr>
        <w:t>Draft reply LS is as followings:</w:t>
      </w:r>
    </w:p>
    <w:tbl>
      <w:tblPr>
        <w:tblStyle w:val="TableGrid"/>
        <w:tblW w:w="0" w:type="auto"/>
        <w:tblLook w:val="04A0" w:firstRow="1" w:lastRow="0" w:firstColumn="1" w:lastColumn="0" w:noHBand="0" w:noVBand="1"/>
      </w:tblPr>
      <w:tblGrid>
        <w:gridCol w:w="9629"/>
      </w:tblGrid>
      <w:tr w:rsidR="008A1E57" w14:paraId="66735701" w14:textId="77777777" w:rsidTr="00200381">
        <w:tc>
          <w:tcPr>
            <w:tcW w:w="9629" w:type="dxa"/>
          </w:tcPr>
          <w:p w14:paraId="49B57B5C" w14:textId="77777777" w:rsidR="008A1E57" w:rsidRPr="00AE2010" w:rsidRDefault="008A1E57" w:rsidP="00200381">
            <w:pPr>
              <w:rPr>
                <w:b/>
                <w:bCs/>
                <w:u w:val="single"/>
              </w:rPr>
            </w:pPr>
            <w:r w:rsidRPr="00AE2010">
              <w:rPr>
                <w:b/>
                <w:bCs/>
                <w:u w:val="single"/>
              </w:rPr>
              <w:t>Overall description</w:t>
            </w:r>
          </w:p>
          <w:p w14:paraId="524A4C6A" w14:textId="77777777" w:rsidR="008A1E57" w:rsidRPr="00AE2010" w:rsidRDefault="008A1E57" w:rsidP="00200381">
            <w:pPr>
              <w:jc w:val="both"/>
              <w:rPr>
                <w:color w:val="000000"/>
                <w:lang w:eastAsia="ko-KR"/>
              </w:rPr>
            </w:pPr>
            <w:r w:rsidRPr="00AE2010">
              <w:rPr>
                <w:color w:val="000000"/>
                <w:lang w:eastAsia="ko-KR"/>
              </w:rPr>
              <w:t>RAN4 thanks RAN</w:t>
            </w:r>
            <w:r>
              <w:rPr>
                <w:color w:val="000000"/>
                <w:lang w:eastAsia="ko-KR"/>
              </w:rPr>
              <w:t>1</w:t>
            </w:r>
            <w:r w:rsidRPr="00AE2010">
              <w:rPr>
                <w:color w:val="000000"/>
                <w:lang w:eastAsia="ko-KR"/>
              </w:rPr>
              <w:t xml:space="preserve"> for the LS sent in </w:t>
            </w:r>
            <w:r w:rsidRPr="00E356F0">
              <w:rPr>
                <w:lang w:val="en-GB"/>
              </w:rPr>
              <w:t>R1-2213001</w:t>
            </w:r>
            <w:r w:rsidRPr="00AE2010">
              <w:rPr>
                <w:color w:val="000000"/>
                <w:lang w:eastAsia="ko-KR"/>
              </w:rPr>
              <w:t xml:space="preserve"> about the RACH-less handover in NTN. RAN4 would like to </w:t>
            </w:r>
            <w:r>
              <w:rPr>
                <w:color w:val="000000"/>
                <w:lang w:eastAsia="ko-KR"/>
              </w:rPr>
              <w:t>confirm the RAN1 assumption of note 1 in their LS</w:t>
            </w:r>
            <w:r w:rsidRPr="00AE2010">
              <w:rPr>
                <w:color w:val="000000"/>
                <w:lang w:eastAsia="ko-KR"/>
              </w:rPr>
              <w:t>:</w:t>
            </w:r>
          </w:p>
          <w:p w14:paraId="0762701A" w14:textId="77777777" w:rsidR="008A1E57" w:rsidRPr="00AE2010" w:rsidRDefault="008A1E57" w:rsidP="00200381">
            <w:pPr>
              <w:pStyle w:val="ListParagraph"/>
              <w:widowControl/>
              <w:numPr>
                <w:ilvl w:val="0"/>
                <w:numId w:val="44"/>
              </w:numPr>
              <w:spacing w:before="120" w:line="240" w:lineRule="auto"/>
              <w:ind w:firstLineChars="0"/>
              <w:jc w:val="both"/>
              <w:rPr>
                <w:color w:val="000000"/>
                <w:sz w:val="24"/>
                <w:szCs w:val="24"/>
                <w:lang w:val="en-GB" w:eastAsia="ko-KR"/>
              </w:rPr>
            </w:pPr>
            <w:r w:rsidRPr="00AE2010">
              <w:rPr>
                <w:color w:val="000000"/>
                <w:sz w:val="24"/>
                <w:szCs w:val="24"/>
                <w:lang w:val="en-GB" w:eastAsia="ko-KR"/>
              </w:rPr>
              <w:t xml:space="preserve">RAN4 </w:t>
            </w:r>
            <w:r w:rsidRPr="00AE2010">
              <w:rPr>
                <w:rFonts w:eastAsia="Times New Roman"/>
                <w:snapToGrid/>
                <w:color w:val="000000"/>
                <w:sz w:val="24"/>
                <w:szCs w:val="24"/>
                <w:lang w:val="en-US" w:eastAsia="ko-KR"/>
              </w:rPr>
              <w:t>confirm that the timing requirement specified in Table 7.1C.2-1 of TS38.133 applies to the first UL transmission in the target cell</w:t>
            </w:r>
            <w:r>
              <w:rPr>
                <w:rFonts w:eastAsia="Times New Roman"/>
                <w:snapToGrid/>
                <w:color w:val="000000"/>
                <w:sz w:val="24"/>
                <w:szCs w:val="24"/>
                <w:lang w:val="en-US" w:eastAsia="ko-KR"/>
              </w:rPr>
              <w:t>, mentioned</w:t>
            </w:r>
            <w:r w:rsidRPr="00AE2010">
              <w:rPr>
                <w:rFonts w:eastAsia="Times New Roman"/>
                <w:snapToGrid/>
                <w:color w:val="000000"/>
                <w:sz w:val="24"/>
                <w:szCs w:val="24"/>
                <w:lang w:val="en-US" w:eastAsia="ko-KR"/>
              </w:rPr>
              <w:t xml:space="preserve"> in note 1 of RAN1 LS R1-2213001.</w:t>
            </w:r>
          </w:p>
        </w:tc>
      </w:tr>
    </w:tbl>
    <w:p w14:paraId="4B4DFFDE" w14:textId="77777777" w:rsidR="008A1E57" w:rsidRPr="002D1506" w:rsidRDefault="008A1E57" w:rsidP="008A1E57">
      <w:pPr>
        <w:spacing w:after="180"/>
        <w:jc w:val="both"/>
        <w:rPr>
          <w:b/>
          <w:bCs/>
          <w:i/>
          <w:color w:val="000000" w:themeColor="text1"/>
        </w:rPr>
      </w:pPr>
    </w:p>
    <w:p w14:paraId="5C32F4BB" w14:textId="67678660" w:rsidR="00A74337" w:rsidRDefault="00A74337" w:rsidP="008A1E57">
      <w:pPr>
        <w:pStyle w:val="Heading1"/>
        <w:pBdr>
          <w:top w:val="single" w:sz="12" w:space="2" w:color="auto"/>
        </w:pBdr>
        <w:ind w:left="0" w:firstLine="0"/>
        <w:jc w:val="both"/>
        <w:rPr>
          <w:sz w:val="32"/>
        </w:rPr>
      </w:pPr>
      <w:r w:rsidRPr="00B7162C">
        <w:rPr>
          <w:rFonts w:hint="eastAsia"/>
          <w:sz w:val="32"/>
        </w:rPr>
        <w:t>References</w:t>
      </w:r>
    </w:p>
    <w:p w14:paraId="79A7BFA5" w14:textId="6E6A6831" w:rsidR="006F5597" w:rsidRPr="003302A0" w:rsidRDefault="00A74337" w:rsidP="0012561B">
      <w:pPr>
        <w:jc w:val="both"/>
      </w:pPr>
      <w:r>
        <w:t xml:space="preserve">[1] </w:t>
      </w:r>
      <w:r w:rsidR="00E15407" w:rsidRPr="00E15407">
        <w:rPr>
          <w:rFonts w:cs="Arial"/>
        </w:rPr>
        <w:t>RP-223534</w:t>
      </w:r>
      <w:r w:rsidR="006F5597" w:rsidRPr="003302A0">
        <w:t xml:space="preserve">, </w:t>
      </w:r>
      <w:r w:rsidR="00E15407" w:rsidRPr="00E15407">
        <w:t>Revised WID: NR NTN (Non-Terrestrial Networks) enhancements</w:t>
      </w:r>
      <w:r w:rsidR="006F5597" w:rsidRPr="003302A0">
        <w:t xml:space="preserve">, </w:t>
      </w:r>
      <w:r w:rsidR="00E15407" w:rsidRPr="00E15407">
        <w:t>Thales</w:t>
      </w:r>
      <w:r w:rsidR="006F5597" w:rsidRPr="003302A0">
        <w:t>, RAN</w:t>
      </w:r>
      <w:r w:rsidR="006F5597">
        <w:t xml:space="preserve"> #</w:t>
      </w:r>
      <w:r w:rsidR="0012561B">
        <w:t>98-e</w:t>
      </w:r>
    </w:p>
    <w:p w14:paraId="0C91915A" w14:textId="337019FF" w:rsidR="00110BFA" w:rsidRPr="005A1E0E" w:rsidRDefault="00110BFA" w:rsidP="00A74337"/>
    <w:sectPr w:rsidR="00110BFA" w:rsidRPr="005A1E0E"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E59F2" w14:textId="77777777" w:rsidR="00083DCB" w:rsidRDefault="00083DCB">
      <w:r>
        <w:separator/>
      </w:r>
    </w:p>
  </w:endnote>
  <w:endnote w:type="continuationSeparator" w:id="0">
    <w:p w14:paraId="02652CF6" w14:textId="77777777" w:rsidR="00083DCB" w:rsidRDefault="00083DCB">
      <w:r>
        <w:continuationSeparator/>
      </w:r>
    </w:p>
  </w:endnote>
  <w:endnote w:type="continuationNotice" w:id="1">
    <w:p w14:paraId="40237901" w14:textId="77777777" w:rsidR="00083DCB" w:rsidRDefault="00083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DC61D" w14:textId="77777777" w:rsidR="00083DCB" w:rsidRDefault="00083DCB">
      <w:r>
        <w:separator/>
      </w:r>
    </w:p>
  </w:footnote>
  <w:footnote w:type="continuationSeparator" w:id="0">
    <w:p w14:paraId="40A6095E" w14:textId="77777777" w:rsidR="00083DCB" w:rsidRDefault="00083DCB">
      <w:r>
        <w:continuationSeparator/>
      </w:r>
    </w:p>
  </w:footnote>
  <w:footnote w:type="continuationNotice" w:id="1">
    <w:p w14:paraId="03186CD5" w14:textId="77777777" w:rsidR="00083DCB" w:rsidRDefault="00083D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7"/>
  </w:num>
  <w:num w:numId="5" w16cid:durableId="19949176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0"/>
  </w:num>
  <w:num w:numId="8" w16cid:durableId="66853061">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5"/>
  </w:num>
  <w:num w:numId="11" w16cid:durableId="658192778">
    <w:abstractNumId w:val="32"/>
  </w:num>
  <w:num w:numId="12" w16cid:durableId="1683971953">
    <w:abstractNumId w:val="22"/>
  </w:num>
  <w:num w:numId="13" w16cid:durableId="1802336773">
    <w:abstractNumId w:val="33"/>
  </w:num>
  <w:num w:numId="14" w16cid:durableId="183179212">
    <w:abstractNumId w:val="8"/>
  </w:num>
  <w:num w:numId="15" w16cid:durableId="101072845">
    <w:abstractNumId w:val="2"/>
  </w:num>
  <w:num w:numId="16" w16cid:durableId="1671985423">
    <w:abstractNumId w:val="38"/>
  </w:num>
  <w:num w:numId="17" w16cid:durableId="527718403">
    <w:abstractNumId w:val="7"/>
  </w:num>
  <w:num w:numId="18" w16cid:durableId="336426665">
    <w:abstractNumId w:val="26"/>
  </w:num>
  <w:num w:numId="19" w16cid:durableId="314071016">
    <w:abstractNumId w:val="3"/>
  </w:num>
  <w:num w:numId="20" w16cid:durableId="254241833">
    <w:abstractNumId w:val="10"/>
  </w:num>
  <w:num w:numId="21" w16cid:durableId="2056931042">
    <w:abstractNumId w:val="21"/>
  </w:num>
  <w:num w:numId="22" w16cid:durableId="277881800">
    <w:abstractNumId w:val="24"/>
  </w:num>
  <w:num w:numId="23" w16cid:durableId="2121104171">
    <w:abstractNumId w:val="16"/>
  </w:num>
  <w:num w:numId="24" w16cid:durableId="1956054883">
    <w:abstractNumId w:val="11"/>
  </w:num>
  <w:num w:numId="25" w16cid:durableId="1143275559">
    <w:abstractNumId w:val="17"/>
  </w:num>
  <w:num w:numId="26" w16cid:durableId="337998213">
    <w:abstractNumId w:val="18"/>
  </w:num>
  <w:num w:numId="27" w16cid:durableId="753867088">
    <w:abstractNumId w:val="14"/>
  </w:num>
  <w:num w:numId="28" w16cid:durableId="1388605013">
    <w:abstractNumId w:val="12"/>
  </w:num>
  <w:num w:numId="29" w16cid:durableId="1194684424">
    <w:abstractNumId w:val="19"/>
  </w:num>
  <w:num w:numId="30" w16cid:durableId="195780968">
    <w:abstractNumId w:val="27"/>
  </w:num>
  <w:num w:numId="31" w16cid:durableId="43145658">
    <w:abstractNumId w:val="23"/>
  </w:num>
  <w:num w:numId="32" w16cid:durableId="840119956">
    <w:abstractNumId w:val="36"/>
  </w:num>
  <w:num w:numId="33" w16cid:durableId="788086887">
    <w:abstractNumId w:val="31"/>
  </w:num>
  <w:num w:numId="34" w16cid:durableId="1075589885">
    <w:abstractNumId w:val="15"/>
  </w:num>
  <w:num w:numId="35" w16cid:durableId="1071587299">
    <w:abstractNumId w:val="34"/>
  </w:num>
  <w:num w:numId="36" w16cid:durableId="1091851232">
    <w:abstractNumId w:val="29"/>
  </w:num>
  <w:num w:numId="37" w16cid:durableId="1931697551">
    <w:abstractNumId w:val="13"/>
  </w:num>
  <w:num w:numId="38" w16cid:durableId="1849905691">
    <w:abstractNumId w:val="25"/>
  </w:num>
  <w:num w:numId="39" w16cid:durableId="276916249">
    <w:abstractNumId w:val="35"/>
  </w:num>
  <w:num w:numId="40" w16cid:durableId="935945555">
    <w:abstractNumId w:val="6"/>
  </w:num>
  <w:num w:numId="41" w16cid:durableId="1093478076">
    <w:abstractNumId w:val="9"/>
  </w:num>
  <w:num w:numId="42" w16cid:durableId="1347514231">
    <w:abstractNumId w:val="39"/>
  </w:num>
  <w:num w:numId="43" w16cid:durableId="30151458">
    <w:abstractNumId w:val="0"/>
  </w:num>
  <w:num w:numId="44" w16cid:durableId="207424313">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1D27"/>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3DCB"/>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15E"/>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DA2"/>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9BE"/>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2D69"/>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828"/>
    <w:rsid w:val="004C094C"/>
    <w:rsid w:val="004C0C33"/>
    <w:rsid w:val="004C0D4F"/>
    <w:rsid w:val="004C3495"/>
    <w:rsid w:val="004C3603"/>
    <w:rsid w:val="004C3D17"/>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485F"/>
    <w:rsid w:val="006E5442"/>
    <w:rsid w:val="006E5CE9"/>
    <w:rsid w:val="006E64EB"/>
    <w:rsid w:val="006E6706"/>
    <w:rsid w:val="006E673E"/>
    <w:rsid w:val="006E6835"/>
    <w:rsid w:val="006E6B0E"/>
    <w:rsid w:val="006E70D7"/>
    <w:rsid w:val="006E7539"/>
    <w:rsid w:val="006E7A02"/>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33A"/>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4AB6"/>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1E57"/>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D05"/>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4CC"/>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B7F"/>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3A"/>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0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4E5"/>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7C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4AA"/>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407"/>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6F0"/>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2C51"/>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5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679710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15</TotalTime>
  <Pages>6</Pages>
  <Words>1940</Words>
  <Characters>11059</Characters>
  <Application>Microsoft Office Word</Application>
  <DocSecurity>0</DocSecurity>
  <Lines>92</Lines>
  <Paragraphs>25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7</cp:revision>
  <cp:lastPrinted>2016-08-05T18:54:00Z</cp:lastPrinted>
  <dcterms:created xsi:type="dcterms:W3CDTF">2023-02-16T19:44:00Z</dcterms:created>
  <dcterms:modified xsi:type="dcterms:W3CDTF">2023-02-17T19:55:00Z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